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8A" w:rsidRDefault="00F6178A" w:rsidP="00F6178A">
      <w:pPr>
        <w:pStyle w:val="Puesto"/>
        <w:spacing w:before="0" w:line="240" w:lineRule="auto"/>
        <w:ind w:left="3540" w:firstLine="708"/>
        <w:rPr>
          <w:noProof/>
          <w:color w:val="006666"/>
          <w:lang w:val="es-ES"/>
        </w:rPr>
      </w:pPr>
      <w:bookmarkStart w:id="0" w:name="_GoBack"/>
      <w:bookmarkEnd w:id="0"/>
      <w:r>
        <w:rPr>
          <w:rFonts w:ascii="Tahoma" w:hAnsi="Tahoma" w:cs="Tahoma"/>
          <w:noProof/>
          <w:sz w:val="12"/>
          <w:szCs w:val="12"/>
          <w:lang w:val="es-EC" w:eastAsia="es-EC"/>
        </w:rPr>
        <w:drawing>
          <wp:anchor distT="0" distB="0" distL="114300" distR="114300" simplePos="0" relativeHeight="251661312" behindDoc="1" locked="0" layoutInCell="1" allowOverlap="1" wp14:anchorId="769DF266" wp14:editId="24692553">
            <wp:simplePos x="0" y="0"/>
            <wp:positionH relativeFrom="page">
              <wp:posOffset>0</wp:posOffset>
            </wp:positionH>
            <wp:positionV relativeFrom="paragraph">
              <wp:posOffset>-942813</wp:posOffset>
            </wp:positionV>
            <wp:extent cx="2944495" cy="2226945"/>
            <wp:effectExtent l="0" t="0" r="8255" b="190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ERVICIOS TC AUDIT 2018-02.jpg"/>
                    <pic:cNvPicPr/>
                  </pic:nvPicPr>
                  <pic:blipFill rotWithShape="1">
                    <a:blip r:embed="rId7" cstate="print">
                      <a:extLst>
                        <a:ext uri="{28A0092B-C50C-407E-A947-70E740481C1C}">
                          <a14:useLocalDpi xmlns:a14="http://schemas.microsoft.com/office/drawing/2010/main" val="0"/>
                        </a:ext>
                      </a:extLst>
                    </a:blip>
                    <a:srcRect b="47142"/>
                    <a:stretch/>
                  </pic:blipFill>
                  <pic:spPr bwMode="auto">
                    <a:xfrm>
                      <a:off x="0" y="0"/>
                      <a:ext cx="2944495" cy="22269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s-EC" w:eastAsia="es-EC"/>
        </w:rPr>
        <mc:AlternateContent>
          <mc:Choice Requires="wps">
            <w:drawing>
              <wp:anchor distT="0" distB="0" distL="114300" distR="114300" simplePos="0" relativeHeight="251659264" behindDoc="1" locked="0" layoutInCell="1" allowOverlap="1" wp14:anchorId="1C80F011" wp14:editId="19868B28">
                <wp:simplePos x="0" y="0"/>
                <wp:positionH relativeFrom="page">
                  <wp:posOffset>2906974</wp:posOffset>
                </wp:positionH>
                <wp:positionV relativeFrom="page">
                  <wp:posOffset>13648</wp:posOffset>
                </wp:positionV>
                <wp:extent cx="4660948" cy="2315689"/>
                <wp:effectExtent l="0" t="0" r="6350" b="889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48" cy="2315689"/>
                        </a:xfrm>
                        <a:prstGeom prst="rect">
                          <a:avLst/>
                        </a:prstGeom>
                        <a:solidFill>
                          <a:srgbClr val="009999">
                            <a:alpha val="2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178A" w:rsidRPr="00D76B81" w:rsidRDefault="00F6178A" w:rsidP="00F6178A">
                            <w:pPr>
                              <w:rPr>
                                <w:sz w:val="20"/>
                                <w:szCs w:val="20"/>
                              </w:rPr>
                            </w:pPr>
                            <w:r w:rsidRPr="00D76B81">
                              <w:rPr>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80F011" id="_x0000_t202" coordsize="21600,21600" o:spt="202" path="m,l,21600r21600,l21600,xe">
                <v:stroke joinstyle="miter"/>
                <v:path gradientshapeok="t" o:connecttype="rect"/>
              </v:shapetype>
              <v:shape id="Cuadro de texto 2" o:spid="_x0000_s1026" type="#_x0000_t202" style="position:absolute;left:0;text-align:left;margin-left:228.9pt;margin-top:1.05pt;width:367pt;height:182.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" fillcolor="#099" stroked="f">
                <v:fill opacity="13107f"/>
                <v:textbox inset="0,0,0,0">
                  <w:txbxContent>
                    <w:p w:rsidR="00F6178A" w:rsidRPr="00D76B81" w:rsidRDefault="00F6178A" w:rsidP="00F6178A">
                      <w:pPr>
                        <w:rPr>
                          <w:sz w:val="20"/>
                          <w:szCs w:val="20"/>
                        </w:rPr>
                      </w:pPr>
                      <w:r w:rsidRPr="00D76B81">
                        <w:rPr>
                          <w:sz w:val="20"/>
                          <w:szCs w:val="20"/>
                        </w:rPr>
                        <w:t xml:space="preserve">     </w:t>
                      </w:r>
                    </w:p>
                  </w:txbxContent>
                </v:textbox>
                <w10:wrap anchorx="page" anchory="page"/>
              </v:shape>
            </w:pict>
          </mc:Fallback>
        </mc:AlternateContent>
      </w:r>
      <w:r w:rsidRPr="00DF25C7">
        <w:rPr>
          <w:noProof/>
          <w:color w:val="006666"/>
          <w:lang w:val="es-ES"/>
        </w:rPr>
        <w:t>TC PLUS</w:t>
      </w:r>
    </w:p>
    <w:p w:rsidR="00F6178A" w:rsidRPr="00F6178A" w:rsidRDefault="00F6178A" w:rsidP="00F6178A">
      <w:pPr>
        <w:pStyle w:val="Puesto"/>
        <w:spacing w:before="0" w:line="240" w:lineRule="auto"/>
        <w:ind w:left="4398" w:right="-1135"/>
        <w:rPr>
          <w:noProof/>
          <w:color w:val="006666"/>
          <w:sz w:val="8"/>
          <w:lang w:val="es-ES"/>
        </w:rPr>
      </w:pPr>
    </w:p>
    <w:p w:rsidR="00F6178A" w:rsidRDefault="00F6178A" w:rsidP="00F6178A">
      <w:pPr>
        <w:pStyle w:val="Puesto"/>
        <w:spacing w:before="0" w:line="240" w:lineRule="auto"/>
        <w:ind w:left="4398" w:right="-1135"/>
        <w:rPr>
          <w:noProof/>
          <w:color w:val="006666"/>
          <w:sz w:val="28"/>
          <w:lang w:val="es-ES"/>
        </w:rPr>
      </w:pPr>
      <w:r>
        <w:rPr>
          <w:noProof/>
          <w:color w:val="006666"/>
          <w:sz w:val="28"/>
          <w:lang w:val="es-ES"/>
        </w:rPr>
        <w:t>Junio 2018</w:t>
      </w:r>
    </w:p>
    <w:p w:rsidR="00F6178A" w:rsidRDefault="00F6178A" w:rsidP="00F6178A">
      <w:pPr>
        <w:pStyle w:val="Puesto"/>
        <w:spacing w:before="0" w:line="240" w:lineRule="auto"/>
        <w:ind w:left="4398" w:right="-1135"/>
        <w:rPr>
          <w:noProof/>
          <w:color w:val="006666"/>
          <w:sz w:val="28"/>
          <w:lang w:val="es-ES"/>
        </w:rPr>
      </w:pPr>
    </w:p>
    <w:p w:rsidR="00F6178A" w:rsidRDefault="00F6178A" w:rsidP="00F6178A">
      <w:pPr>
        <w:pStyle w:val="Puesto"/>
        <w:spacing w:before="0" w:line="240" w:lineRule="auto"/>
        <w:ind w:left="4398" w:right="-1135"/>
        <w:rPr>
          <w:noProof/>
          <w:color w:val="006666"/>
          <w:sz w:val="28"/>
          <w:lang w:val="es-ES"/>
        </w:rPr>
      </w:pPr>
      <w:r w:rsidRPr="00F6178A">
        <w:rPr>
          <w:noProof/>
          <w:sz w:val="144"/>
          <w:lang w:val="es-EC" w:eastAsia="es-EC"/>
        </w:rPr>
        <mc:AlternateContent>
          <mc:Choice Requires="wps">
            <w:drawing>
              <wp:anchor distT="0" distB="0" distL="114300" distR="114300" simplePos="0" relativeHeight="251662336" behindDoc="1" locked="0" layoutInCell="1" allowOverlap="1" wp14:anchorId="70C994C6" wp14:editId="005D75E8">
                <wp:simplePos x="0" y="0"/>
                <wp:positionH relativeFrom="page">
                  <wp:posOffset>-3810</wp:posOffset>
                </wp:positionH>
                <wp:positionV relativeFrom="page">
                  <wp:posOffset>2233930</wp:posOffset>
                </wp:positionV>
                <wp:extent cx="7564120" cy="93980"/>
                <wp:effectExtent l="0" t="0" r="0" b="127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93980"/>
                        </a:xfrm>
                        <a:prstGeom prst="rect">
                          <a:avLst/>
                        </a:prstGeom>
                        <a:solidFill>
                          <a:srgbClr val="009999">
                            <a:alpha val="78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178A" w:rsidRPr="00F137F9" w:rsidRDefault="00F6178A" w:rsidP="00F617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994C6" id="Cuadro de texto 3" o:spid="_x0000_s1027" type="#_x0000_t202" style="position:absolute;left:0;text-align:left;margin-left:-.3pt;margin-top:175.9pt;width:595.6pt;height:7.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" fillcolor="#099" stroked="f">
                <v:fill opacity="51143f"/>
                <v:textbox inset="0,0,0,0">
                  <w:txbxContent>
                    <w:p w:rsidR="00F6178A" w:rsidRPr="00F137F9" w:rsidRDefault="00F6178A" w:rsidP="00F6178A"/>
                  </w:txbxContent>
                </v:textbox>
                <w10:wrap anchorx="page" anchory="page"/>
              </v:shape>
            </w:pict>
          </mc:Fallback>
        </mc:AlternateContent>
      </w:r>
    </w:p>
    <w:p w:rsidR="00F6178A" w:rsidRPr="008C4DA3" w:rsidRDefault="00F6178A" w:rsidP="00F6178A">
      <w:pPr>
        <w:pStyle w:val="Puesto"/>
        <w:spacing w:before="0" w:line="240" w:lineRule="auto"/>
        <w:ind w:left="4398" w:right="-1135"/>
        <w:rPr>
          <w:noProof/>
          <w:color w:val="006666"/>
          <w:sz w:val="52"/>
          <w:lang w:val="es-ES"/>
        </w:rPr>
      </w:pPr>
      <w:r>
        <w:rPr>
          <w:noProof/>
          <w:color w:val="006666"/>
          <w:sz w:val="28"/>
          <w:lang w:val="es-ES"/>
        </w:rPr>
        <w:t xml:space="preserve"> </w:t>
      </w:r>
    </w:p>
    <w:p w:rsidR="005D3966" w:rsidRPr="0007764D" w:rsidRDefault="00F6178A" w:rsidP="00F6178A">
      <w:pPr>
        <w:spacing w:after="0" w:line="240" w:lineRule="auto"/>
        <w:rPr>
          <w:rFonts w:ascii="Tahoma" w:hAnsi="Tahoma" w:cs="Tahoma"/>
          <w:bCs/>
          <w:color w:val="006666"/>
          <w:sz w:val="24"/>
          <w:szCs w:val="20"/>
        </w:rPr>
      </w:pPr>
      <w:r w:rsidRPr="0007764D">
        <w:rPr>
          <w:noProof/>
          <w:color w:val="006666"/>
          <w:sz w:val="14"/>
          <w:lang w:eastAsia="es-EC"/>
        </w:rPr>
        <mc:AlternateContent>
          <mc:Choice Requires="wps">
            <w:drawing>
              <wp:anchor distT="0" distB="0" distL="114300" distR="114300" simplePos="0" relativeHeight="251660288" behindDoc="0" locked="0" layoutInCell="1" allowOverlap="1" wp14:anchorId="59952A43" wp14:editId="4A83370A">
                <wp:simplePos x="0" y="0"/>
                <wp:positionH relativeFrom="page">
                  <wp:posOffset>-96506</wp:posOffset>
                </wp:positionH>
                <wp:positionV relativeFrom="page">
                  <wp:posOffset>1378540</wp:posOffset>
                </wp:positionV>
                <wp:extent cx="5013325" cy="2585720"/>
                <wp:effectExtent l="3175" t="3175" r="3175" b="190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325" cy="258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178A" w:rsidRPr="00136E72" w:rsidRDefault="00F6178A" w:rsidP="00F6178A"/>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9952A43" id="Cuadro de texto 5" o:spid="_x0000_s1028" type="#_x0000_t202" style="position:absolute;margin-left:-7.6pt;margin-top:108.55pt;width:394.75pt;height:203.6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" filled="f" stroked="f">
                <v:textbox style="mso-fit-shape-to-text:t">
                  <w:txbxContent>
                    <w:p w:rsidR="00F6178A" w:rsidRPr="00136E72" w:rsidRDefault="00F6178A" w:rsidP="00F6178A"/>
                  </w:txbxContent>
                </v:textbox>
                <w10:wrap anchorx="page" anchory="page"/>
              </v:shape>
            </w:pict>
          </mc:Fallback>
        </mc:AlternateContent>
      </w:r>
      <w:r w:rsidR="005D3966" w:rsidRPr="0007764D">
        <w:rPr>
          <w:rFonts w:ascii="Tahoma" w:hAnsi="Tahoma" w:cs="Tahoma"/>
          <w:bCs/>
          <w:color w:val="006666"/>
          <w:sz w:val="24"/>
          <w:szCs w:val="20"/>
        </w:rPr>
        <w:t>Estimados Clientes y Amigos</w:t>
      </w:r>
    </w:p>
    <w:p w:rsidR="005D3966" w:rsidRPr="0007764D" w:rsidRDefault="005D3966" w:rsidP="00F6178A">
      <w:pPr>
        <w:spacing w:after="0" w:line="240" w:lineRule="auto"/>
        <w:jc w:val="both"/>
        <w:rPr>
          <w:rFonts w:ascii="Tahoma" w:hAnsi="Tahoma" w:cs="Tahoma"/>
          <w:bCs/>
          <w:color w:val="006666"/>
          <w:sz w:val="24"/>
          <w:szCs w:val="20"/>
        </w:rPr>
      </w:pPr>
    </w:p>
    <w:p w:rsidR="005D3966" w:rsidRPr="0007764D" w:rsidRDefault="005D3966" w:rsidP="00F6178A">
      <w:pPr>
        <w:spacing w:after="0" w:line="240" w:lineRule="auto"/>
        <w:jc w:val="both"/>
        <w:rPr>
          <w:rFonts w:ascii="Tahoma" w:hAnsi="Tahoma" w:cs="Tahoma"/>
          <w:bCs/>
          <w:color w:val="006666"/>
          <w:sz w:val="24"/>
          <w:szCs w:val="20"/>
        </w:rPr>
      </w:pPr>
      <w:r w:rsidRPr="0007764D">
        <w:rPr>
          <w:rFonts w:ascii="Tahoma" w:hAnsi="Tahoma" w:cs="Tahoma"/>
          <w:bCs/>
          <w:color w:val="006666"/>
          <w:sz w:val="24"/>
          <w:szCs w:val="20"/>
        </w:rPr>
        <w:t xml:space="preserve">A continuación sírvase encontrar un resumen ejecutivo de la “LEY ORGÁNICA PARA EL FOMENTO PRODUCTIVO Y ATRACCIÓN DE INVERSIONES, GENERACIÓN DE EMPLEO, ESTABILIDAD Y EQUILIBRIO FISCAL” </w:t>
      </w:r>
      <w:r w:rsidR="004103DF" w:rsidRPr="0007764D">
        <w:rPr>
          <w:rFonts w:ascii="Tahoma" w:hAnsi="Tahoma" w:cs="Tahoma"/>
          <w:bCs/>
          <w:color w:val="006666"/>
          <w:sz w:val="24"/>
          <w:szCs w:val="20"/>
        </w:rPr>
        <w:t>aprobada por la Asamblea Nacional y enviada a</w:t>
      </w:r>
      <w:r w:rsidRPr="0007764D">
        <w:rPr>
          <w:rFonts w:ascii="Tahoma" w:hAnsi="Tahoma" w:cs="Tahoma"/>
          <w:bCs/>
          <w:color w:val="006666"/>
          <w:sz w:val="24"/>
          <w:szCs w:val="20"/>
        </w:rPr>
        <w:t xml:space="preserve"> la Presidencia de la República para </w:t>
      </w:r>
      <w:r w:rsidR="004103DF" w:rsidRPr="0007764D">
        <w:rPr>
          <w:rFonts w:ascii="Tahoma" w:hAnsi="Tahoma" w:cs="Tahoma"/>
          <w:bCs/>
          <w:color w:val="006666"/>
          <w:sz w:val="24"/>
          <w:szCs w:val="20"/>
        </w:rPr>
        <w:t xml:space="preserve">el trámite de </w:t>
      </w:r>
      <w:r w:rsidRPr="0007764D">
        <w:rPr>
          <w:rFonts w:ascii="Tahoma" w:hAnsi="Tahoma" w:cs="Tahoma"/>
          <w:bCs/>
          <w:color w:val="006666"/>
          <w:sz w:val="24"/>
          <w:szCs w:val="20"/>
        </w:rPr>
        <w:t>aprobación</w:t>
      </w:r>
      <w:r w:rsidR="004103DF" w:rsidRPr="0007764D">
        <w:rPr>
          <w:rFonts w:ascii="Tahoma" w:hAnsi="Tahoma" w:cs="Tahoma"/>
          <w:bCs/>
          <w:color w:val="006666"/>
          <w:sz w:val="24"/>
          <w:szCs w:val="20"/>
        </w:rPr>
        <w:t xml:space="preserve"> o veto</w:t>
      </w:r>
      <w:r w:rsidRPr="0007764D">
        <w:rPr>
          <w:rFonts w:ascii="Tahoma" w:hAnsi="Tahoma" w:cs="Tahoma"/>
          <w:bCs/>
          <w:color w:val="006666"/>
          <w:sz w:val="24"/>
          <w:szCs w:val="20"/>
        </w:rPr>
        <w:t xml:space="preserve">.  </w:t>
      </w:r>
    </w:p>
    <w:p w:rsidR="005D3966" w:rsidRPr="0007764D" w:rsidRDefault="005D3966" w:rsidP="00F6178A">
      <w:pPr>
        <w:spacing w:after="0" w:line="240" w:lineRule="auto"/>
        <w:jc w:val="both"/>
        <w:rPr>
          <w:rFonts w:ascii="Tahoma" w:hAnsi="Tahoma" w:cs="Tahoma"/>
          <w:bCs/>
          <w:color w:val="006666"/>
          <w:sz w:val="24"/>
          <w:szCs w:val="20"/>
        </w:rPr>
      </w:pPr>
    </w:p>
    <w:p w:rsidR="005D3966" w:rsidRPr="0007764D" w:rsidRDefault="005D3966" w:rsidP="00F6178A">
      <w:pPr>
        <w:spacing w:after="0" w:line="240" w:lineRule="auto"/>
        <w:jc w:val="both"/>
        <w:rPr>
          <w:rFonts w:ascii="Tahoma" w:hAnsi="Tahoma" w:cs="Tahoma"/>
          <w:bCs/>
          <w:color w:val="006666"/>
          <w:sz w:val="24"/>
          <w:szCs w:val="20"/>
        </w:rPr>
      </w:pPr>
      <w:r w:rsidRPr="0007764D">
        <w:rPr>
          <w:rFonts w:ascii="Tahoma" w:hAnsi="Tahoma" w:cs="Tahoma"/>
          <w:bCs/>
          <w:color w:val="006666"/>
          <w:sz w:val="24"/>
          <w:szCs w:val="20"/>
        </w:rPr>
        <w:t xml:space="preserve">Una vez </w:t>
      </w:r>
      <w:r w:rsidR="004103DF" w:rsidRPr="0007764D">
        <w:rPr>
          <w:rFonts w:ascii="Tahoma" w:hAnsi="Tahoma" w:cs="Tahoma"/>
          <w:bCs/>
          <w:color w:val="006666"/>
          <w:sz w:val="24"/>
          <w:szCs w:val="20"/>
        </w:rPr>
        <w:t>sea publicada en Registro Oficial prepararemos un resumen más amplio para su consulta sobre los cambios más relevantes y de impacto para nuestro trabajo diario.</w:t>
      </w:r>
    </w:p>
    <w:p w:rsidR="004103DF" w:rsidRPr="004103DF" w:rsidRDefault="004103DF" w:rsidP="00F6178A">
      <w:pPr>
        <w:spacing w:after="0" w:line="240" w:lineRule="auto"/>
        <w:jc w:val="both"/>
        <w:rPr>
          <w:rFonts w:ascii="Tahoma" w:hAnsi="Tahoma" w:cs="Tahoma"/>
          <w:i/>
          <w:color w:val="000000"/>
          <w:sz w:val="24"/>
          <w:szCs w:val="26"/>
          <w:shd w:val="clear" w:color="auto" w:fill="FFFFFF"/>
        </w:rPr>
      </w:pPr>
    </w:p>
    <w:p w:rsidR="004103DF" w:rsidRDefault="004103DF" w:rsidP="00F6178A">
      <w:pPr>
        <w:spacing w:after="0" w:line="240" w:lineRule="auto"/>
        <w:jc w:val="both"/>
        <w:rPr>
          <w:rFonts w:ascii="Tahoma" w:hAnsi="Tahoma" w:cs="Tahoma"/>
          <w:color w:val="000000"/>
          <w:sz w:val="24"/>
          <w:szCs w:val="26"/>
          <w:shd w:val="clear" w:color="auto" w:fill="FFFFFF"/>
        </w:rPr>
      </w:pPr>
      <w:r w:rsidRPr="004103DF">
        <w:rPr>
          <w:rFonts w:ascii="Tahoma" w:hAnsi="Tahoma" w:cs="Tahoma"/>
          <w:color w:val="000000"/>
          <w:sz w:val="24"/>
          <w:szCs w:val="26"/>
          <w:shd w:val="clear" w:color="auto" w:fill="FFFFFF"/>
        </w:rPr>
        <w:t>Esta Ley tiene por objetivo fomentar al sector productivo, generar empleo y estabilidad fiscal, mediante remisiones de intereses, multas y recargos en varias áreas, así como incentivos con la exoneración de impuestos, apoyo a la vivienda de interés social, al agro, emprendimientos y la economía popular y solidaria, empresas, entre otros.</w:t>
      </w:r>
    </w:p>
    <w:p w:rsidR="0007764D" w:rsidRDefault="0007764D" w:rsidP="00F6178A">
      <w:pPr>
        <w:spacing w:after="0" w:line="240" w:lineRule="auto"/>
        <w:jc w:val="both"/>
        <w:rPr>
          <w:rFonts w:ascii="Tahoma" w:hAnsi="Tahoma" w:cs="Tahoma"/>
          <w:color w:val="000000"/>
          <w:sz w:val="24"/>
          <w:szCs w:val="26"/>
          <w:shd w:val="clear" w:color="auto" w:fill="FFFFFF"/>
        </w:rPr>
      </w:pPr>
    </w:p>
    <w:p w:rsidR="004103DF" w:rsidRDefault="0007764D" w:rsidP="0007764D">
      <w:pPr>
        <w:spacing w:after="0" w:line="240" w:lineRule="auto"/>
        <w:jc w:val="both"/>
        <w:rPr>
          <w:rFonts w:ascii="Tahoma" w:hAnsi="Tahoma" w:cs="Tahoma"/>
          <w:color w:val="000000"/>
          <w:sz w:val="24"/>
          <w:szCs w:val="26"/>
          <w:shd w:val="clear" w:color="auto" w:fill="FFFFFF"/>
        </w:rPr>
      </w:pPr>
      <w:r>
        <w:rPr>
          <w:rFonts w:ascii="Tahoma" w:hAnsi="Tahoma" w:cs="Tahoma"/>
          <w:color w:val="000000"/>
          <w:sz w:val="24"/>
          <w:szCs w:val="26"/>
          <w:shd w:val="clear" w:color="auto" w:fill="FFFFFF"/>
        </w:rPr>
        <w:t>En términos generales el ámbito de aplicación y plazos de remisión se mantienen:</w:t>
      </w:r>
    </w:p>
    <w:p w:rsidR="0007764D" w:rsidRDefault="0007764D" w:rsidP="0007764D">
      <w:pPr>
        <w:spacing w:after="0" w:line="240" w:lineRule="auto"/>
        <w:jc w:val="both"/>
        <w:rPr>
          <w:rFonts w:ascii="Roboto" w:hAnsi="Roboto"/>
          <w:i/>
          <w:color w:val="000000"/>
          <w:sz w:val="23"/>
          <w:szCs w:val="23"/>
          <w:shd w:val="clear" w:color="auto" w:fill="FFFFFF"/>
        </w:rPr>
      </w:pPr>
    </w:p>
    <w:p w:rsidR="004103DF" w:rsidRDefault="004103DF" w:rsidP="00F6178A">
      <w:pPr>
        <w:spacing w:after="0" w:line="240" w:lineRule="auto"/>
        <w:rPr>
          <w:rFonts w:ascii="Tahoma" w:hAnsi="Tahoma" w:cs="Tahoma"/>
          <w:b/>
          <w:bCs/>
          <w:color w:val="006666"/>
          <w:sz w:val="20"/>
          <w:szCs w:val="20"/>
          <w:lang w:val="es-ES_tradnl"/>
        </w:rPr>
        <w:sectPr w:rsidR="004103DF">
          <w:headerReference w:type="default" r:id="rId8"/>
          <w:footerReference w:type="default" r:id="rId9"/>
          <w:pgSz w:w="11906" w:h="16838"/>
          <w:pgMar w:top="1417" w:right="1701" w:bottom="1417" w:left="1701" w:header="708" w:footer="708" w:gutter="0"/>
          <w:cols w:space="708"/>
          <w:docGrid w:linePitch="360"/>
        </w:sectPr>
      </w:pPr>
    </w:p>
    <w:p w:rsidR="004103DF" w:rsidRPr="00F6178A" w:rsidRDefault="004103DF" w:rsidP="00F6178A">
      <w:pPr>
        <w:spacing w:after="0" w:line="240" w:lineRule="auto"/>
        <w:jc w:val="both"/>
        <w:rPr>
          <w:rFonts w:ascii="Tahoma" w:hAnsi="Tahoma" w:cs="Tahoma"/>
          <w:sz w:val="16"/>
          <w:szCs w:val="20"/>
          <w:lang w:val="es-ES_tradnl"/>
        </w:rPr>
      </w:pPr>
      <w:r w:rsidRPr="00F6178A">
        <w:rPr>
          <w:rFonts w:ascii="Tahoma" w:hAnsi="Tahoma" w:cs="Tahoma"/>
          <w:b/>
          <w:bCs/>
          <w:color w:val="44546A" w:themeColor="text2"/>
          <w:sz w:val="16"/>
          <w:szCs w:val="20"/>
          <w:lang w:val="es-ES_tradnl"/>
        </w:rPr>
        <w:lastRenderedPageBreak/>
        <w:t xml:space="preserve">Ámbito de aplicación.- </w:t>
      </w:r>
      <w:r w:rsidRPr="00F6178A">
        <w:rPr>
          <w:rFonts w:ascii="Tahoma" w:hAnsi="Tahoma" w:cs="Tahoma"/>
          <w:sz w:val="16"/>
          <w:szCs w:val="20"/>
          <w:lang w:val="es-ES_tradnl"/>
        </w:rPr>
        <w:t>Se dispone la remisión del 100% de intereses, multas y recargos derivados del saldo de las obligaciones tributarias o fiscales internas cuya administración y recaudación le corresponde única y directamente al Servicio de Rentas Internas conforme los términos y condiciones establecidos en la presente Ley y las resoluciones que para el efecto emita el Servicio de Rentas Internas.</w:t>
      </w:r>
    </w:p>
    <w:p w:rsidR="004103DF" w:rsidRPr="00F6178A" w:rsidRDefault="004103DF" w:rsidP="00F6178A">
      <w:pPr>
        <w:spacing w:after="0" w:line="240" w:lineRule="auto"/>
        <w:jc w:val="both"/>
        <w:rPr>
          <w:rFonts w:ascii="Tahoma" w:hAnsi="Tahoma" w:cs="Tahoma"/>
          <w:sz w:val="16"/>
          <w:szCs w:val="20"/>
        </w:rPr>
      </w:pPr>
    </w:p>
    <w:p w:rsidR="004103DF" w:rsidRPr="00F6178A" w:rsidRDefault="004103DF" w:rsidP="00F6178A">
      <w:pPr>
        <w:spacing w:after="0" w:line="240" w:lineRule="auto"/>
        <w:jc w:val="both"/>
        <w:rPr>
          <w:rFonts w:ascii="Tahoma" w:hAnsi="Tahoma" w:cs="Tahoma"/>
          <w:sz w:val="16"/>
          <w:szCs w:val="20"/>
          <w:lang w:val="es-ES_tradnl"/>
        </w:rPr>
      </w:pPr>
      <w:r w:rsidRPr="00F6178A">
        <w:rPr>
          <w:rFonts w:ascii="Tahoma" w:hAnsi="Tahoma" w:cs="Tahoma"/>
          <w:sz w:val="16"/>
          <w:szCs w:val="20"/>
          <w:lang w:val="es-ES_tradnl"/>
        </w:rPr>
        <w:t>Las obligaciones tributarias o fiscales vencidas con posterioridad al 2 de abril de 2018, así como las obligaciones correspondientes a la declaración anual del impuesto a la renta del ejercicio fiscal 2017, no podrán acogerse a la remisión prevista en este artículo.</w:t>
      </w:r>
    </w:p>
    <w:p w:rsidR="004103DF" w:rsidRPr="00F6178A" w:rsidRDefault="004103DF" w:rsidP="00F6178A">
      <w:pPr>
        <w:spacing w:after="0" w:line="240" w:lineRule="auto"/>
        <w:jc w:val="both"/>
        <w:rPr>
          <w:rFonts w:ascii="Tahoma" w:hAnsi="Tahoma" w:cs="Tahoma"/>
          <w:sz w:val="16"/>
          <w:szCs w:val="20"/>
        </w:rPr>
      </w:pPr>
    </w:p>
    <w:p w:rsidR="004103DF" w:rsidRPr="00F6178A" w:rsidRDefault="004103DF" w:rsidP="00F6178A">
      <w:pPr>
        <w:spacing w:after="0" w:line="240" w:lineRule="auto"/>
        <w:jc w:val="both"/>
        <w:rPr>
          <w:rFonts w:ascii="Tahoma" w:hAnsi="Tahoma" w:cs="Tahoma"/>
          <w:sz w:val="16"/>
          <w:szCs w:val="20"/>
          <w:lang w:val="es-ES_tradnl"/>
        </w:rPr>
      </w:pPr>
      <w:r w:rsidRPr="00F6178A">
        <w:rPr>
          <w:rFonts w:ascii="Tahoma" w:hAnsi="Tahoma" w:cs="Tahoma"/>
          <w:sz w:val="16"/>
          <w:szCs w:val="20"/>
          <w:lang w:val="es-ES_tradnl"/>
        </w:rPr>
        <w:t>En lo relativo a la remisión de las cuotas del Régimen Impositivo Simplificado RISE, así como lo relacionado a la remisión y saneamiento de los valores que componen la matriculación vehicular, se deberá aplicar lo establecido en los artículos 9 y 11 de la presente Ley.</w:t>
      </w:r>
    </w:p>
    <w:p w:rsidR="004103DF" w:rsidRPr="00F6178A" w:rsidRDefault="004103DF" w:rsidP="00F6178A">
      <w:pPr>
        <w:spacing w:after="0" w:line="240" w:lineRule="auto"/>
        <w:jc w:val="both"/>
        <w:rPr>
          <w:rFonts w:ascii="Tahoma" w:hAnsi="Tahoma" w:cs="Tahoma"/>
          <w:sz w:val="16"/>
          <w:szCs w:val="20"/>
        </w:rPr>
      </w:pPr>
    </w:p>
    <w:p w:rsidR="004103DF" w:rsidRPr="005D3966" w:rsidRDefault="004103DF" w:rsidP="00F6178A">
      <w:pPr>
        <w:spacing w:after="0" w:line="240" w:lineRule="auto"/>
        <w:jc w:val="both"/>
        <w:rPr>
          <w:rFonts w:ascii="Tahoma" w:eastAsia="Times New Roman" w:hAnsi="Tahoma" w:cs="Tahoma"/>
          <w:sz w:val="16"/>
          <w:szCs w:val="20"/>
          <w:lang w:eastAsia="es-EC"/>
        </w:rPr>
      </w:pPr>
      <w:r w:rsidRPr="005D3966">
        <w:rPr>
          <w:rFonts w:ascii="Tahoma" w:eastAsia="Tahoma" w:hAnsi="Tahoma" w:cs="Tahoma"/>
          <w:b/>
          <w:bCs/>
          <w:color w:val="44546A" w:themeColor="text2"/>
          <w:kern w:val="24"/>
          <w:sz w:val="16"/>
          <w:szCs w:val="20"/>
          <w:lang w:val="es-ES_tradnl" w:eastAsia="es-EC"/>
        </w:rPr>
        <w:t xml:space="preserve">Plazo de remisión.- </w:t>
      </w:r>
      <w:r w:rsidRPr="005D3966">
        <w:rPr>
          <w:rFonts w:ascii="Tahoma" w:eastAsia="Tahoma" w:hAnsi="Tahoma" w:cs="Tahoma"/>
          <w:color w:val="000000" w:themeColor="dark1"/>
          <w:kern w:val="24"/>
          <w:sz w:val="16"/>
          <w:szCs w:val="20"/>
          <w:lang w:val="es-ES_tradnl" w:eastAsia="es-EC"/>
        </w:rPr>
        <w:t>Los contribuyentes que pretendan beneficiarse de la remisión del cien por ciento (100%) de intereses, multas y recargos derivados de las obligaciones tributarias y fiscales deberán, además de cumplir con los términos y condiciones establecidos en la presente Ley, pagar la totalidad del capital en los plazos detallados a continuación:</w:t>
      </w:r>
    </w:p>
    <w:p w:rsidR="004103DF" w:rsidRPr="00F6178A" w:rsidRDefault="004103DF" w:rsidP="00F6178A">
      <w:pPr>
        <w:spacing w:after="0" w:line="240" w:lineRule="auto"/>
        <w:jc w:val="center"/>
        <w:rPr>
          <w:rFonts w:ascii="Tahoma" w:hAnsi="Tahoma" w:cs="Tahoma"/>
          <w:sz w:val="16"/>
          <w:szCs w:val="20"/>
        </w:rPr>
      </w:pPr>
      <w:r w:rsidRPr="00F6178A">
        <w:rPr>
          <w:rFonts w:ascii="Tahoma" w:hAnsi="Tahoma" w:cs="Tahoma"/>
          <w:noProof/>
          <w:sz w:val="16"/>
          <w:szCs w:val="20"/>
          <w:lang w:eastAsia="es-EC"/>
        </w:rPr>
        <w:lastRenderedPageBreak/>
        <w:drawing>
          <wp:inline distT="0" distB="0" distL="0" distR="0" wp14:anchorId="228F123A" wp14:editId="65BB0CBD">
            <wp:extent cx="2431954" cy="2207811"/>
            <wp:effectExtent l="0" t="0" r="6985"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rotWithShape="1">
                    <a:blip r:embed="rId10"/>
                    <a:srcRect l="32557" t="26212" r="30454" b="14090"/>
                    <a:stretch/>
                  </pic:blipFill>
                  <pic:spPr>
                    <a:xfrm>
                      <a:off x="0" y="0"/>
                      <a:ext cx="2459103" cy="2232458"/>
                    </a:xfrm>
                    <a:prstGeom prst="rect">
                      <a:avLst/>
                    </a:prstGeom>
                  </pic:spPr>
                </pic:pic>
              </a:graphicData>
            </a:graphic>
          </wp:inline>
        </w:drawing>
      </w:r>
    </w:p>
    <w:p w:rsidR="004103DF" w:rsidRPr="00F6178A" w:rsidRDefault="004103DF" w:rsidP="00F6178A">
      <w:pPr>
        <w:spacing w:after="0" w:line="240" w:lineRule="auto"/>
        <w:jc w:val="both"/>
        <w:rPr>
          <w:rFonts w:ascii="Tahoma" w:hAnsi="Tahoma" w:cs="Tahoma"/>
          <w:sz w:val="16"/>
          <w:szCs w:val="20"/>
        </w:rPr>
      </w:pPr>
    </w:p>
    <w:p w:rsidR="004103DF" w:rsidRPr="004103DF" w:rsidRDefault="004103DF" w:rsidP="00F6178A">
      <w:pPr>
        <w:spacing w:after="0" w:line="240" w:lineRule="auto"/>
        <w:jc w:val="both"/>
        <w:rPr>
          <w:rFonts w:ascii="Tahoma" w:hAnsi="Tahoma" w:cs="Tahoma"/>
          <w:sz w:val="18"/>
          <w:szCs w:val="20"/>
        </w:rPr>
      </w:pPr>
      <w:r w:rsidRPr="00F6178A">
        <w:rPr>
          <w:rFonts w:ascii="Tahoma" w:hAnsi="Tahoma" w:cs="Tahoma"/>
          <w:sz w:val="16"/>
          <w:szCs w:val="20"/>
          <w:lang w:val="es-ES_tradnl"/>
        </w:rPr>
        <w:t>En todos los casos previstos en esta Ley, solo se aplicará la remisión cuando el contribuyente cumpla con el pago del cien por ciento (100%) del saldo del capital en los plazos previstos en este artículo o dentro del plazo otorgado para las facilidades de pago; de no agotarse este requisito, los pagos parciales que se hubieren realizado se imputarán conforme a las reglas generales contenidas en el Código Tributario.</w:t>
      </w:r>
    </w:p>
    <w:p w:rsidR="004103DF" w:rsidRDefault="004103DF" w:rsidP="00F6178A">
      <w:pPr>
        <w:spacing w:after="0" w:line="240" w:lineRule="auto"/>
        <w:rPr>
          <w:rFonts w:ascii="Roboto" w:hAnsi="Roboto"/>
          <w:i/>
          <w:color w:val="000000"/>
          <w:sz w:val="23"/>
          <w:szCs w:val="23"/>
          <w:shd w:val="clear" w:color="auto" w:fill="FFFFFF"/>
        </w:rPr>
        <w:sectPr w:rsidR="004103DF" w:rsidSect="0007764D">
          <w:type w:val="continuous"/>
          <w:pgSz w:w="11906" w:h="16838"/>
          <w:pgMar w:top="1417" w:right="1701" w:bottom="1135" w:left="1701" w:header="708" w:footer="0" w:gutter="0"/>
          <w:cols w:num="2" w:space="566"/>
          <w:titlePg/>
          <w:docGrid w:linePitch="360"/>
        </w:sectPr>
      </w:pPr>
    </w:p>
    <w:p w:rsidR="0007764D" w:rsidRDefault="004B2178" w:rsidP="0007764D">
      <w:pPr>
        <w:spacing w:after="0" w:line="240" w:lineRule="auto"/>
        <w:jc w:val="both"/>
        <w:rPr>
          <w:rFonts w:ascii="Tahoma" w:hAnsi="Tahoma" w:cs="Tahoma"/>
          <w:color w:val="000000"/>
          <w:sz w:val="24"/>
          <w:szCs w:val="26"/>
          <w:shd w:val="clear" w:color="auto" w:fill="FFFFFF"/>
        </w:rPr>
      </w:pPr>
      <w:r>
        <w:rPr>
          <w:noProof/>
          <w:lang w:eastAsia="es-EC"/>
        </w:rPr>
        <w:lastRenderedPageBreak/>
        <w:drawing>
          <wp:anchor distT="0" distB="0" distL="114300" distR="114300" simplePos="0" relativeHeight="251663360" behindDoc="0" locked="0" layoutInCell="1" allowOverlap="1">
            <wp:simplePos x="0" y="0"/>
            <wp:positionH relativeFrom="column">
              <wp:posOffset>4560009</wp:posOffset>
            </wp:positionH>
            <wp:positionV relativeFrom="paragraph">
              <wp:posOffset>34670</wp:posOffset>
            </wp:positionV>
            <wp:extent cx="1270668" cy="1201800"/>
            <wp:effectExtent l="0" t="0" r="5715" b="0"/>
            <wp:wrapSquare wrapText="bothSides"/>
            <wp:docPr id="7" name="Imagen 7" descr="Resultado de imagen para ice impuesto a los consumos especia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ice impuesto a los consumos especial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668" cy="1201800"/>
                    </a:xfrm>
                    <a:prstGeom prst="rect">
                      <a:avLst/>
                    </a:prstGeom>
                    <a:noFill/>
                    <a:ln>
                      <a:noFill/>
                    </a:ln>
                  </pic:spPr>
                </pic:pic>
              </a:graphicData>
            </a:graphic>
          </wp:anchor>
        </w:drawing>
      </w:r>
      <w:r w:rsidR="0007764D" w:rsidRPr="0007764D">
        <w:rPr>
          <w:rFonts w:ascii="Tahoma" w:hAnsi="Tahoma" w:cs="Tahoma"/>
          <w:color w:val="000000"/>
          <w:sz w:val="24"/>
          <w:szCs w:val="26"/>
          <w:shd w:val="clear" w:color="auto" w:fill="FFFFFF"/>
        </w:rPr>
        <w:t xml:space="preserve">Dentro de los </w:t>
      </w:r>
      <w:r w:rsidR="0007764D">
        <w:rPr>
          <w:rFonts w:ascii="Tahoma" w:hAnsi="Tahoma" w:cs="Tahoma"/>
          <w:color w:val="000000"/>
          <w:sz w:val="24"/>
          <w:szCs w:val="26"/>
          <w:shd w:val="clear" w:color="auto" w:fill="FFFFFF"/>
        </w:rPr>
        <w:t xml:space="preserve">principales cambios e inclusiones tenemos: </w:t>
      </w:r>
    </w:p>
    <w:p w:rsidR="0007764D" w:rsidRPr="0007764D" w:rsidRDefault="0007764D" w:rsidP="0007764D">
      <w:pPr>
        <w:spacing w:after="0" w:line="240" w:lineRule="auto"/>
        <w:jc w:val="both"/>
        <w:rPr>
          <w:rFonts w:ascii="Tahoma" w:hAnsi="Tahoma" w:cs="Tahoma"/>
          <w:color w:val="000000"/>
          <w:sz w:val="24"/>
          <w:szCs w:val="26"/>
          <w:shd w:val="clear" w:color="auto" w:fill="FFFFFF"/>
        </w:rPr>
      </w:pPr>
    </w:p>
    <w:p w:rsidR="000E1145" w:rsidRPr="0007764D" w:rsidRDefault="000E1145" w:rsidP="000E1145">
      <w:pPr>
        <w:pStyle w:val="Prrafodelista"/>
        <w:numPr>
          <w:ilvl w:val="0"/>
          <w:numId w:val="3"/>
        </w:numPr>
        <w:jc w:val="both"/>
        <w:rPr>
          <w:rFonts w:ascii="Tahoma" w:hAnsi="Tahoma" w:cs="Tahoma"/>
          <w:color w:val="000000"/>
          <w:sz w:val="20"/>
          <w:szCs w:val="20"/>
          <w:shd w:val="clear" w:color="auto" w:fill="FFFFFF"/>
        </w:rPr>
      </w:pPr>
      <w:r w:rsidRPr="0007764D">
        <w:rPr>
          <w:rFonts w:ascii="Tahoma" w:hAnsi="Tahoma" w:cs="Tahoma"/>
          <w:color w:val="000000"/>
          <w:sz w:val="20"/>
          <w:szCs w:val="20"/>
          <w:shd w:val="clear" w:color="auto" w:fill="FFFFFF"/>
        </w:rPr>
        <w:t xml:space="preserve">Se incorporó a esta normativa la reducción del Impuesto a los Consumos Especiales (ICE) a las cocinas de inducción, exenciones del Impuesto al Valor Agregado (IVA) a los vehículos eléctricos de carga e IVA cero para las carrocerías de buses armados en el país.   </w:t>
      </w:r>
    </w:p>
    <w:p w:rsidR="000C42B8" w:rsidRDefault="000C42B8" w:rsidP="000E1145">
      <w:pPr>
        <w:pStyle w:val="Prrafodelista"/>
        <w:jc w:val="both"/>
        <w:rPr>
          <w:rFonts w:ascii="Tahoma" w:hAnsi="Tahoma" w:cs="Tahoma"/>
          <w:color w:val="000000"/>
          <w:sz w:val="20"/>
          <w:szCs w:val="20"/>
          <w:shd w:val="clear" w:color="auto" w:fill="FFFFFF"/>
        </w:rPr>
      </w:pPr>
    </w:p>
    <w:p w:rsidR="0007764D" w:rsidRDefault="0007764D" w:rsidP="0007764D">
      <w:pPr>
        <w:pStyle w:val="Prrafodelista"/>
        <w:jc w:val="center"/>
        <w:rPr>
          <w:rFonts w:ascii="Tahoma" w:hAnsi="Tahoma" w:cs="Tahoma"/>
          <w:color w:val="000000"/>
          <w:sz w:val="20"/>
          <w:szCs w:val="20"/>
          <w:shd w:val="clear" w:color="auto" w:fill="FFFFFF"/>
        </w:rPr>
      </w:pPr>
    </w:p>
    <w:p w:rsidR="0007764D" w:rsidRDefault="0007764D" w:rsidP="000E1145">
      <w:pPr>
        <w:pStyle w:val="Prrafodelista"/>
        <w:jc w:val="both"/>
        <w:rPr>
          <w:rFonts w:ascii="Tahoma" w:hAnsi="Tahoma" w:cs="Tahoma"/>
          <w:color w:val="000000"/>
          <w:sz w:val="20"/>
          <w:szCs w:val="20"/>
          <w:shd w:val="clear" w:color="auto" w:fill="FFFFFF"/>
        </w:rPr>
      </w:pPr>
    </w:p>
    <w:p w:rsidR="000E1145" w:rsidRPr="0007764D" w:rsidRDefault="004B2178" w:rsidP="000E1145">
      <w:pPr>
        <w:pStyle w:val="Prrafodelista"/>
        <w:numPr>
          <w:ilvl w:val="0"/>
          <w:numId w:val="3"/>
        </w:numPr>
        <w:jc w:val="both"/>
        <w:rPr>
          <w:rFonts w:ascii="Tahoma" w:hAnsi="Tahoma" w:cs="Tahoma"/>
          <w:color w:val="000000"/>
          <w:sz w:val="20"/>
          <w:szCs w:val="20"/>
          <w:shd w:val="clear" w:color="auto" w:fill="FFFFFF"/>
        </w:rPr>
      </w:pPr>
      <w:r w:rsidRPr="0007764D">
        <w:rPr>
          <w:noProof/>
          <w:sz w:val="20"/>
          <w:szCs w:val="20"/>
        </w:rPr>
        <w:drawing>
          <wp:anchor distT="0" distB="0" distL="114300" distR="114300" simplePos="0" relativeHeight="251667456" behindDoc="0" locked="0" layoutInCell="1" allowOverlap="1">
            <wp:simplePos x="0" y="0"/>
            <wp:positionH relativeFrom="page">
              <wp:posOffset>5183313</wp:posOffset>
            </wp:positionH>
            <wp:positionV relativeFrom="paragraph">
              <wp:posOffset>12700</wp:posOffset>
            </wp:positionV>
            <wp:extent cx="2188210" cy="835025"/>
            <wp:effectExtent l="0" t="0" r="2540" b="317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l="36865" t="42176" r="40734" b="42621"/>
                    <a:stretch/>
                  </pic:blipFill>
                  <pic:spPr bwMode="auto">
                    <a:xfrm>
                      <a:off x="0" y="0"/>
                      <a:ext cx="2188210" cy="8350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E1145" w:rsidRPr="0007764D">
        <w:rPr>
          <w:rFonts w:ascii="Tahoma" w:hAnsi="Tahoma" w:cs="Tahoma"/>
          <w:color w:val="000000"/>
          <w:sz w:val="20"/>
          <w:szCs w:val="20"/>
          <w:shd w:val="clear" w:color="auto" w:fill="FFFFFF"/>
        </w:rPr>
        <w:t>Se sumó la resolución de controversias en materia de contratos internacionales, agroseguros e intereses preferenciales para zonas de frontera deprimidas y una tabla sobre el I</w:t>
      </w:r>
      <w:r w:rsidR="000C42B8" w:rsidRPr="0007764D">
        <w:rPr>
          <w:rFonts w:ascii="Tahoma" w:hAnsi="Tahoma" w:cs="Tahoma"/>
          <w:color w:val="000000"/>
          <w:sz w:val="20"/>
          <w:szCs w:val="20"/>
          <w:shd w:val="clear" w:color="auto" w:fill="FFFFFF"/>
        </w:rPr>
        <w:t xml:space="preserve">mpuesto a la </w:t>
      </w:r>
      <w:r w:rsidR="000E1145" w:rsidRPr="0007764D">
        <w:rPr>
          <w:rFonts w:ascii="Tahoma" w:hAnsi="Tahoma" w:cs="Tahoma"/>
          <w:color w:val="000000"/>
          <w:sz w:val="20"/>
          <w:szCs w:val="20"/>
          <w:shd w:val="clear" w:color="auto" w:fill="FFFFFF"/>
        </w:rPr>
        <w:t>R</w:t>
      </w:r>
      <w:r w:rsidR="000C42B8" w:rsidRPr="0007764D">
        <w:rPr>
          <w:rFonts w:ascii="Tahoma" w:hAnsi="Tahoma" w:cs="Tahoma"/>
          <w:color w:val="000000"/>
          <w:sz w:val="20"/>
          <w:szCs w:val="20"/>
          <w:shd w:val="clear" w:color="auto" w:fill="FFFFFF"/>
        </w:rPr>
        <w:t>enta para la venta de acciones y otros temas relacionados con derechos de los trabajadores, deportistas y policías.</w:t>
      </w:r>
    </w:p>
    <w:p w:rsidR="000E1145" w:rsidRPr="0007764D" w:rsidRDefault="000E1145" w:rsidP="000E1145">
      <w:pPr>
        <w:pStyle w:val="Prrafodelista"/>
        <w:jc w:val="both"/>
        <w:rPr>
          <w:rFonts w:ascii="Tahoma" w:hAnsi="Tahoma" w:cs="Tahoma"/>
          <w:color w:val="000000"/>
          <w:sz w:val="20"/>
          <w:szCs w:val="20"/>
          <w:shd w:val="clear" w:color="auto" w:fill="FFFFFF"/>
        </w:rPr>
      </w:pPr>
    </w:p>
    <w:p w:rsidR="000C42B8" w:rsidRPr="0007764D" w:rsidRDefault="000C42B8" w:rsidP="000E1145">
      <w:pPr>
        <w:pStyle w:val="Prrafodelista"/>
        <w:jc w:val="both"/>
        <w:rPr>
          <w:rFonts w:ascii="Tahoma" w:hAnsi="Tahoma" w:cs="Tahoma"/>
          <w:color w:val="000000"/>
          <w:sz w:val="20"/>
          <w:szCs w:val="20"/>
          <w:shd w:val="clear" w:color="auto" w:fill="FFFFFF"/>
        </w:rPr>
      </w:pPr>
    </w:p>
    <w:p w:rsidR="004103DF" w:rsidRPr="0007764D" w:rsidRDefault="004B2178" w:rsidP="004B7686">
      <w:pPr>
        <w:pStyle w:val="Prrafodelista"/>
        <w:numPr>
          <w:ilvl w:val="0"/>
          <w:numId w:val="3"/>
        </w:numPr>
        <w:shd w:val="clear" w:color="auto" w:fill="FFFFFF"/>
        <w:jc w:val="both"/>
        <w:rPr>
          <w:rFonts w:ascii="Tahoma" w:hAnsi="Tahoma" w:cs="Tahoma"/>
          <w:color w:val="000000"/>
          <w:sz w:val="20"/>
          <w:szCs w:val="20"/>
        </w:rPr>
      </w:pPr>
      <w:r>
        <w:rPr>
          <w:noProof/>
        </w:rPr>
        <w:drawing>
          <wp:anchor distT="0" distB="0" distL="114300" distR="114300" simplePos="0" relativeHeight="251664384" behindDoc="0" locked="0" layoutInCell="1" allowOverlap="1">
            <wp:simplePos x="0" y="0"/>
            <wp:positionH relativeFrom="column">
              <wp:posOffset>4514850</wp:posOffset>
            </wp:positionH>
            <wp:positionV relativeFrom="paragraph">
              <wp:posOffset>6985</wp:posOffset>
            </wp:positionV>
            <wp:extent cx="1555750" cy="1160145"/>
            <wp:effectExtent l="0" t="0" r="0" b="0"/>
            <wp:wrapSquare wrapText="bothSides"/>
            <wp:docPr id="8" name="Imagen 8" descr="Resultado de imagen para sal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salu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162" r="7883"/>
                    <a:stretch/>
                  </pic:blipFill>
                  <pic:spPr bwMode="auto">
                    <a:xfrm>
                      <a:off x="0" y="0"/>
                      <a:ext cx="1555750" cy="11601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4103DF" w:rsidRPr="0007764D">
        <w:rPr>
          <w:rFonts w:ascii="Tahoma" w:hAnsi="Tahoma" w:cs="Tahoma"/>
          <w:color w:val="000000"/>
          <w:sz w:val="20"/>
          <w:szCs w:val="20"/>
        </w:rPr>
        <w:t xml:space="preserve">Se liberarán los intereses de glosas de la Contraloría a trabajadores de tres hospitales, como una manera de que </w:t>
      </w:r>
      <w:r w:rsidR="00F6178A" w:rsidRPr="0007764D">
        <w:rPr>
          <w:rFonts w:ascii="Tahoma" w:hAnsi="Tahoma" w:cs="Tahoma"/>
          <w:color w:val="000000"/>
          <w:sz w:val="20"/>
          <w:szCs w:val="20"/>
        </w:rPr>
        <w:t>e</w:t>
      </w:r>
      <w:r w:rsidR="004103DF" w:rsidRPr="0007764D">
        <w:rPr>
          <w:rFonts w:ascii="Tahoma" w:hAnsi="Tahoma" w:cs="Tahoma"/>
          <w:color w:val="000000"/>
          <w:sz w:val="20"/>
          <w:szCs w:val="20"/>
        </w:rPr>
        <w:t>stas personas puedan cumplir con su obligación ante esta entidad, así como Secretaría del Agua</w:t>
      </w:r>
      <w:r w:rsidR="000C42B8" w:rsidRPr="0007764D">
        <w:rPr>
          <w:rFonts w:ascii="Tahoma" w:hAnsi="Tahoma" w:cs="Tahoma"/>
          <w:color w:val="000000"/>
          <w:sz w:val="20"/>
          <w:szCs w:val="20"/>
        </w:rPr>
        <w:t xml:space="preserve"> y s</w:t>
      </w:r>
      <w:r w:rsidR="004103DF" w:rsidRPr="0007764D">
        <w:rPr>
          <w:rFonts w:ascii="Tahoma" w:hAnsi="Tahoma" w:cs="Tahoma"/>
          <w:color w:val="000000"/>
          <w:sz w:val="20"/>
          <w:szCs w:val="20"/>
        </w:rPr>
        <w:t>egún el informe para segundo debate, esta figura se aplica para el Servicio de Rentas Internas, Seguro Social, Gobiernos Autónomos Descentralizados, Aduanas, servicios básicos, impuestos vehiculares, deudores de la banca pública, créditos educativos y becas.</w:t>
      </w:r>
    </w:p>
    <w:p w:rsidR="000E1145" w:rsidRDefault="004B2178" w:rsidP="004B2178">
      <w:pPr>
        <w:pStyle w:val="NormalWeb"/>
        <w:shd w:val="clear" w:color="auto" w:fill="FFFFFF"/>
        <w:spacing w:before="0" w:beforeAutospacing="0" w:after="0" w:afterAutospacing="0"/>
        <w:jc w:val="center"/>
        <w:rPr>
          <w:rFonts w:ascii="Tahoma" w:hAnsi="Tahoma" w:cs="Tahoma"/>
          <w:color w:val="2F363E"/>
          <w:sz w:val="20"/>
          <w:szCs w:val="20"/>
        </w:rPr>
      </w:pPr>
      <w:r>
        <w:rPr>
          <w:noProof/>
        </w:rPr>
        <w:drawing>
          <wp:anchor distT="0" distB="0" distL="114300" distR="114300" simplePos="0" relativeHeight="251665408" behindDoc="0" locked="0" layoutInCell="1" allowOverlap="1">
            <wp:simplePos x="0" y="0"/>
            <wp:positionH relativeFrom="page">
              <wp:posOffset>5596890</wp:posOffset>
            </wp:positionH>
            <wp:positionV relativeFrom="paragraph">
              <wp:posOffset>95250</wp:posOffset>
            </wp:positionV>
            <wp:extent cx="1571625" cy="1028065"/>
            <wp:effectExtent l="0" t="0" r="9525" b="635"/>
            <wp:wrapSquare wrapText="bothSides"/>
            <wp:docPr id="9" name="Imagen 9" descr="Resultado de imagen para indust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industri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71625" cy="1028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2178" w:rsidRDefault="004B2178" w:rsidP="004B2178">
      <w:pPr>
        <w:pStyle w:val="NormalWeb"/>
        <w:shd w:val="clear" w:color="auto" w:fill="FFFFFF"/>
        <w:spacing w:before="0" w:beforeAutospacing="0" w:after="0" w:afterAutospacing="0"/>
        <w:jc w:val="center"/>
        <w:rPr>
          <w:rFonts w:ascii="Tahoma" w:hAnsi="Tahoma" w:cs="Tahoma"/>
          <w:color w:val="2F363E"/>
          <w:sz w:val="20"/>
          <w:szCs w:val="20"/>
        </w:rPr>
      </w:pPr>
    </w:p>
    <w:p w:rsidR="004103DF" w:rsidRPr="004B2178" w:rsidRDefault="004103DF" w:rsidP="000C42B8">
      <w:pPr>
        <w:pStyle w:val="NormalWeb"/>
        <w:numPr>
          <w:ilvl w:val="0"/>
          <w:numId w:val="4"/>
        </w:numPr>
        <w:shd w:val="clear" w:color="auto" w:fill="FFFFFF"/>
        <w:spacing w:before="0" w:beforeAutospacing="0" w:after="0" w:afterAutospacing="0"/>
        <w:jc w:val="both"/>
        <w:rPr>
          <w:rFonts w:ascii="Tahoma" w:hAnsi="Tahoma" w:cs="Tahoma"/>
          <w:color w:val="2F363E"/>
          <w:sz w:val="20"/>
          <w:szCs w:val="20"/>
        </w:rPr>
      </w:pPr>
      <w:r w:rsidRPr="0007764D">
        <w:rPr>
          <w:rFonts w:ascii="Tahoma" w:hAnsi="Tahoma" w:cs="Tahoma"/>
          <w:color w:val="000000"/>
          <w:sz w:val="20"/>
          <w:szCs w:val="20"/>
        </w:rPr>
        <w:t>En cuanto a los incentivos se conserva la exoneración del IR para nuevas inversiones productivas fuera de Quito y Guayaquil durante 12 años y al interior de estas ciudades, ocho. Para inversiones en el sector industrial el beneficio es por 10 años y en industrias básicas 15. En zonas fronterizas son cinco años más.</w:t>
      </w:r>
    </w:p>
    <w:p w:rsidR="004B2178" w:rsidRDefault="004B2178" w:rsidP="004B2178">
      <w:pPr>
        <w:pStyle w:val="NormalWeb"/>
        <w:shd w:val="clear" w:color="auto" w:fill="FFFFFF"/>
        <w:spacing w:before="0" w:beforeAutospacing="0" w:after="0" w:afterAutospacing="0"/>
        <w:ind w:left="720"/>
        <w:jc w:val="both"/>
        <w:rPr>
          <w:rFonts w:ascii="Tahoma" w:hAnsi="Tahoma" w:cs="Tahoma"/>
          <w:color w:val="000000"/>
          <w:sz w:val="20"/>
          <w:szCs w:val="20"/>
        </w:rPr>
      </w:pPr>
    </w:p>
    <w:p w:rsidR="004B2178" w:rsidRDefault="004B2178" w:rsidP="004B2178">
      <w:pPr>
        <w:pStyle w:val="NormalWeb"/>
        <w:shd w:val="clear" w:color="auto" w:fill="FFFFFF"/>
        <w:spacing w:before="0" w:beforeAutospacing="0" w:after="0" w:afterAutospacing="0"/>
        <w:ind w:left="720"/>
        <w:jc w:val="both"/>
        <w:rPr>
          <w:rFonts w:ascii="Tahoma" w:hAnsi="Tahoma" w:cs="Tahoma"/>
          <w:color w:val="000000"/>
          <w:sz w:val="20"/>
          <w:szCs w:val="20"/>
        </w:rPr>
      </w:pPr>
      <w:r>
        <w:rPr>
          <w:noProof/>
        </w:rPr>
        <w:drawing>
          <wp:anchor distT="0" distB="0" distL="114300" distR="114300" simplePos="0" relativeHeight="251666432" behindDoc="0" locked="0" layoutInCell="1" allowOverlap="1">
            <wp:simplePos x="0" y="0"/>
            <wp:positionH relativeFrom="column">
              <wp:posOffset>4528820</wp:posOffset>
            </wp:positionH>
            <wp:positionV relativeFrom="paragraph">
              <wp:posOffset>12700</wp:posOffset>
            </wp:positionV>
            <wp:extent cx="1596390" cy="877570"/>
            <wp:effectExtent l="0" t="0" r="3810" b="0"/>
            <wp:wrapSquare wrapText="bothSides"/>
            <wp:docPr id="10" name="Imagen 10" descr="Resultado de imagen para ag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ultado de imagen para agr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6390" cy="877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03DF" w:rsidRDefault="004103DF" w:rsidP="000C42B8">
      <w:pPr>
        <w:pStyle w:val="NormalWeb"/>
        <w:numPr>
          <w:ilvl w:val="0"/>
          <w:numId w:val="4"/>
        </w:numPr>
        <w:shd w:val="clear" w:color="auto" w:fill="FFFFFF"/>
        <w:spacing w:before="0" w:beforeAutospacing="0" w:after="0" w:afterAutospacing="0"/>
        <w:jc w:val="both"/>
        <w:rPr>
          <w:rFonts w:ascii="Tahoma" w:hAnsi="Tahoma" w:cs="Tahoma"/>
          <w:color w:val="000000"/>
          <w:sz w:val="20"/>
          <w:szCs w:val="20"/>
        </w:rPr>
      </w:pPr>
      <w:r w:rsidRPr="0007764D">
        <w:rPr>
          <w:rFonts w:ascii="Tahoma" w:hAnsi="Tahoma" w:cs="Tahoma"/>
          <w:color w:val="000000"/>
          <w:sz w:val="20"/>
          <w:szCs w:val="20"/>
        </w:rPr>
        <w:t>Para el agro se establecen tasas preferenciales de crédito en la banca pública, tarifa cero en el IVA para maquinarias y repuestos, así como la creación del seguro agropecuario.</w:t>
      </w:r>
    </w:p>
    <w:p w:rsidR="004B2178" w:rsidRPr="0007764D" w:rsidRDefault="004B2178" w:rsidP="004B2178">
      <w:pPr>
        <w:pStyle w:val="NormalWeb"/>
        <w:shd w:val="clear" w:color="auto" w:fill="FFFFFF"/>
        <w:spacing w:before="0" w:beforeAutospacing="0" w:after="0" w:afterAutospacing="0"/>
        <w:ind w:left="720"/>
        <w:jc w:val="both"/>
        <w:rPr>
          <w:rFonts w:ascii="Tahoma" w:hAnsi="Tahoma" w:cs="Tahoma"/>
          <w:color w:val="000000"/>
          <w:sz w:val="20"/>
          <w:szCs w:val="20"/>
        </w:rPr>
      </w:pPr>
    </w:p>
    <w:p w:rsidR="000E1145" w:rsidRDefault="000E1145" w:rsidP="004B2178">
      <w:pPr>
        <w:pStyle w:val="NormalWeb"/>
        <w:shd w:val="clear" w:color="auto" w:fill="FFFFFF"/>
        <w:spacing w:before="0" w:beforeAutospacing="0" w:after="0" w:afterAutospacing="0"/>
        <w:jc w:val="center"/>
        <w:rPr>
          <w:rFonts w:ascii="Tahoma" w:hAnsi="Tahoma" w:cs="Tahoma"/>
          <w:color w:val="2F363E"/>
          <w:sz w:val="20"/>
          <w:szCs w:val="20"/>
        </w:rPr>
      </w:pPr>
    </w:p>
    <w:p w:rsidR="004B2178" w:rsidRDefault="004B2178" w:rsidP="00F6178A">
      <w:pPr>
        <w:pStyle w:val="NormalWeb"/>
        <w:shd w:val="clear" w:color="auto" w:fill="FFFFFF"/>
        <w:spacing w:before="0" w:beforeAutospacing="0" w:after="0" w:afterAutospacing="0"/>
        <w:jc w:val="both"/>
        <w:rPr>
          <w:rFonts w:ascii="Tahoma" w:hAnsi="Tahoma" w:cs="Tahoma"/>
          <w:color w:val="2F363E"/>
          <w:sz w:val="20"/>
          <w:szCs w:val="20"/>
        </w:rPr>
      </w:pPr>
    </w:p>
    <w:p w:rsidR="004103DF" w:rsidRPr="0007764D" w:rsidRDefault="004103DF" w:rsidP="000C42B8">
      <w:pPr>
        <w:pStyle w:val="NormalWeb"/>
        <w:numPr>
          <w:ilvl w:val="0"/>
          <w:numId w:val="4"/>
        </w:numPr>
        <w:shd w:val="clear" w:color="auto" w:fill="FFFFFF"/>
        <w:spacing w:before="0" w:beforeAutospacing="0" w:after="0" w:afterAutospacing="0"/>
        <w:jc w:val="both"/>
        <w:rPr>
          <w:rFonts w:ascii="Tahoma" w:hAnsi="Tahoma" w:cs="Tahoma"/>
          <w:color w:val="000000"/>
          <w:sz w:val="20"/>
          <w:szCs w:val="20"/>
        </w:rPr>
      </w:pPr>
      <w:r w:rsidRPr="0007764D">
        <w:rPr>
          <w:rFonts w:ascii="Tahoma" w:hAnsi="Tahoma" w:cs="Tahoma"/>
          <w:color w:val="000000"/>
          <w:sz w:val="20"/>
          <w:szCs w:val="20"/>
        </w:rPr>
        <w:t>En cambio, para que la Economía Popular y Solidaria (EPS) realice sus inversiones de manera más fiable y segura, se crea un Fondo de Garantía. Además, el momento que contraten con el Estado recibirán un anticipo para que puedan reinvertir. También se fomenta el turismo.</w:t>
      </w:r>
    </w:p>
    <w:p w:rsidR="000E1145" w:rsidRDefault="000E1145" w:rsidP="00F6178A">
      <w:pPr>
        <w:pStyle w:val="NormalWeb"/>
        <w:shd w:val="clear" w:color="auto" w:fill="FFFFFF"/>
        <w:spacing w:before="0" w:beforeAutospacing="0" w:after="0" w:afterAutospacing="0"/>
        <w:jc w:val="both"/>
        <w:rPr>
          <w:rFonts w:ascii="Tahoma" w:hAnsi="Tahoma" w:cs="Tahoma"/>
          <w:color w:val="2F363E"/>
          <w:sz w:val="20"/>
          <w:szCs w:val="20"/>
        </w:rPr>
      </w:pPr>
    </w:p>
    <w:p w:rsidR="004B2178" w:rsidRPr="0007764D" w:rsidRDefault="004B2178" w:rsidP="00F6178A">
      <w:pPr>
        <w:pStyle w:val="NormalWeb"/>
        <w:shd w:val="clear" w:color="auto" w:fill="FFFFFF"/>
        <w:spacing w:before="0" w:beforeAutospacing="0" w:after="0" w:afterAutospacing="0"/>
        <w:jc w:val="both"/>
        <w:rPr>
          <w:rFonts w:ascii="Tahoma" w:hAnsi="Tahoma" w:cs="Tahoma"/>
          <w:color w:val="2F363E"/>
          <w:sz w:val="20"/>
          <w:szCs w:val="20"/>
        </w:rPr>
      </w:pPr>
      <w:r>
        <w:rPr>
          <w:noProof/>
        </w:rPr>
        <w:drawing>
          <wp:anchor distT="0" distB="0" distL="114300" distR="114300" simplePos="0" relativeHeight="251668480" behindDoc="0" locked="0" layoutInCell="1" allowOverlap="1">
            <wp:simplePos x="0" y="0"/>
            <wp:positionH relativeFrom="column">
              <wp:posOffset>4577715</wp:posOffset>
            </wp:positionH>
            <wp:positionV relativeFrom="paragraph">
              <wp:posOffset>6985</wp:posOffset>
            </wp:positionV>
            <wp:extent cx="1590675" cy="933450"/>
            <wp:effectExtent l="0" t="0" r="9525" b="0"/>
            <wp:wrapSquare wrapText="bothSides"/>
            <wp:docPr id="11" name="Imagen 11" descr="Resultado de imagen para vivienda so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sultado de imagen para vivienda social"/>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1182" b="10543"/>
                    <a:stretch/>
                  </pic:blipFill>
                  <pic:spPr bwMode="auto">
                    <a:xfrm>
                      <a:off x="0" y="0"/>
                      <a:ext cx="159067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103DF" w:rsidRDefault="004103DF" w:rsidP="000C42B8">
      <w:pPr>
        <w:pStyle w:val="NormalWeb"/>
        <w:numPr>
          <w:ilvl w:val="0"/>
          <w:numId w:val="4"/>
        </w:numPr>
        <w:shd w:val="clear" w:color="auto" w:fill="FFFFFF"/>
        <w:spacing w:before="0" w:beforeAutospacing="0" w:after="0" w:afterAutospacing="0"/>
        <w:jc w:val="both"/>
        <w:rPr>
          <w:rFonts w:ascii="Tahoma" w:hAnsi="Tahoma" w:cs="Tahoma"/>
          <w:color w:val="000000"/>
          <w:sz w:val="20"/>
          <w:szCs w:val="20"/>
        </w:rPr>
      </w:pPr>
      <w:r w:rsidRPr="0007764D">
        <w:rPr>
          <w:rFonts w:ascii="Tahoma" w:hAnsi="Tahoma" w:cs="Tahoma"/>
          <w:color w:val="000000"/>
          <w:sz w:val="20"/>
          <w:szCs w:val="20"/>
        </w:rPr>
        <w:t>A fin de incentivar la vivienda de interés social no se cobrará el Impuesto al Valor Agregado (IVA) y se simplifican los trámites. Al mismo tiempo, los constructores deben contratar y entregar a los beneficiarios, durante 10 años, un seguro que garantice la idoneidad de esas estructuras.</w:t>
      </w:r>
    </w:p>
    <w:p w:rsidR="004B2178" w:rsidRPr="0007764D" w:rsidRDefault="004B2178" w:rsidP="004B2178">
      <w:pPr>
        <w:pStyle w:val="NormalWeb"/>
        <w:shd w:val="clear" w:color="auto" w:fill="FFFFFF"/>
        <w:spacing w:before="0" w:beforeAutospacing="0" w:after="0" w:afterAutospacing="0"/>
        <w:jc w:val="both"/>
        <w:rPr>
          <w:rFonts w:ascii="Tahoma" w:hAnsi="Tahoma" w:cs="Tahoma"/>
          <w:color w:val="000000"/>
          <w:sz w:val="20"/>
          <w:szCs w:val="20"/>
        </w:rPr>
      </w:pPr>
    </w:p>
    <w:p w:rsidR="000C42B8" w:rsidRPr="0007764D" w:rsidRDefault="000C42B8" w:rsidP="00F6178A">
      <w:pPr>
        <w:pStyle w:val="NormalWeb"/>
        <w:shd w:val="clear" w:color="auto" w:fill="FFFFFF"/>
        <w:spacing w:before="0" w:beforeAutospacing="0" w:after="0" w:afterAutospacing="0"/>
        <w:jc w:val="both"/>
        <w:rPr>
          <w:rFonts w:ascii="Tahoma" w:hAnsi="Tahoma" w:cs="Tahoma"/>
          <w:color w:val="2F363E"/>
          <w:sz w:val="20"/>
          <w:szCs w:val="20"/>
        </w:rPr>
      </w:pPr>
    </w:p>
    <w:p w:rsidR="005D3966" w:rsidRPr="0007764D" w:rsidRDefault="004103DF" w:rsidP="007469C7">
      <w:pPr>
        <w:pStyle w:val="NormalWeb"/>
        <w:numPr>
          <w:ilvl w:val="0"/>
          <w:numId w:val="4"/>
        </w:numPr>
        <w:shd w:val="clear" w:color="auto" w:fill="FFFFFF"/>
        <w:spacing w:before="0" w:beforeAutospacing="0" w:after="0" w:afterAutospacing="0"/>
        <w:jc w:val="both"/>
        <w:rPr>
          <w:rFonts w:ascii="Tahoma" w:hAnsi="Tahoma" w:cs="Tahoma"/>
          <w:sz w:val="20"/>
          <w:szCs w:val="20"/>
        </w:rPr>
      </w:pPr>
      <w:r w:rsidRPr="0007764D">
        <w:rPr>
          <w:rFonts w:ascii="Tahoma" w:hAnsi="Tahoma" w:cs="Tahoma"/>
          <w:color w:val="000000"/>
          <w:sz w:val="20"/>
          <w:szCs w:val="20"/>
        </w:rPr>
        <w:t>En cuanto a las reglas macroeconómicas se crea un Fondo de Estabilización Fiscal, con los ingresos provenientes de la explotación de recursos no renovables que superen lo contemplado en el presupuesto general y luego de descontar el porcentaje correspondiente a los gobiernos autónomos descentralizados.</w:t>
      </w:r>
    </w:p>
    <w:sectPr w:rsidR="005D3966" w:rsidRPr="0007764D" w:rsidSect="004103DF">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7C1" w:rsidRDefault="00FA27C1" w:rsidP="00F6178A">
      <w:pPr>
        <w:spacing w:after="0" w:line="240" w:lineRule="auto"/>
      </w:pPr>
      <w:r>
        <w:separator/>
      </w:r>
    </w:p>
  </w:endnote>
  <w:endnote w:type="continuationSeparator" w:id="0">
    <w:p w:rsidR="00FA27C1" w:rsidRDefault="00FA27C1" w:rsidP="00F61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8079"/>
      <w:gridCol w:w="425"/>
    </w:tblGrid>
    <w:tr w:rsidR="006F7452" w:rsidTr="00F6178A">
      <w:trPr>
        <w:trHeight w:val="169"/>
        <w:jc w:val="right"/>
      </w:trPr>
      <w:tc>
        <w:tcPr>
          <w:tcW w:w="4795" w:type="dxa"/>
          <w:vAlign w:val="center"/>
        </w:tcPr>
        <w:sdt>
          <w:sdtPr>
            <w:rPr>
              <w:caps/>
              <w:color w:val="000000" w:themeColor="text1"/>
            </w:rPr>
            <w:alias w:val="Autor"/>
            <w:tag w:val=""/>
            <w:id w:val="-1333681462"/>
            <w:dataBinding w:prefixMappings="xmlns:ns0='http://purl.org/dc/elements/1.1/' xmlns:ns1='http://schemas.openxmlformats.org/package/2006/metadata/core-properties' " w:xpath="/ns1:coreProperties[1]/ns0:creator[1]" w:storeItemID="{6C3C8BC8-F283-45AE-878A-BAB7291924A1}"/>
            <w:text/>
          </w:sdtPr>
          <w:sdtEndPr/>
          <w:sdtContent>
            <w:p w:rsidR="006F7452" w:rsidRDefault="00F6178A" w:rsidP="00F6178A">
              <w:pPr>
                <w:pStyle w:val="Encabezado"/>
                <w:jc w:val="right"/>
                <w:rPr>
                  <w:caps/>
                  <w:color w:val="000000" w:themeColor="text1"/>
                </w:rPr>
              </w:pPr>
              <w:r>
                <w:rPr>
                  <w:caps/>
                  <w:color w:val="000000" w:themeColor="text1"/>
                </w:rPr>
                <w:t>Junio 2018</w:t>
              </w:r>
            </w:p>
          </w:sdtContent>
        </w:sdt>
      </w:tc>
      <w:tc>
        <w:tcPr>
          <w:tcW w:w="250" w:type="pct"/>
          <w:shd w:val="clear" w:color="auto" w:fill="006666"/>
          <w:vAlign w:val="center"/>
        </w:tcPr>
        <w:p w:rsidR="006F7452" w:rsidRDefault="00461513">
          <w:pPr>
            <w:pStyle w:val="Piedepgina"/>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F8564A">
            <w:rPr>
              <w:noProof/>
              <w:color w:val="FFFFFF" w:themeColor="background1"/>
            </w:rPr>
            <w:t>1</w:t>
          </w:r>
          <w:r>
            <w:rPr>
              <w:color w:val="FFFFFF" w:themeColor="background1"/>
            </w:rPr>
            <w:fldChar w:fldCharType="end"/>
          </w:r>
        </w:p>
      </w:tc>
    </w:tr>
  </w:tbl>
  <w:p w:rsidR="006F7452" w:rsidRDefault="00FA27C1" w:rsidP="00F6178A">
    <w:pPr>
      <w:pStyle w:val="Piedepgina"/>
      <w:tabs>
        <w:tab w:val="clear" w:pos="4252"/>
        <w:tab w:val="clear" w:pos="8504"/>
        <w:tab w:val="left" w:pos="681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7C1" w:rsidRDefault="00FA27C1" w:rsidP="00F6178A">
      <w:pPr>
        <w:spacing w:after="0" w:line="240" w:lineRule="auto"/>
      </w:pPr>
      <w:r>
        <w:separator/>
      </w:r>
    </w:p>
  </w:footnote>
  <w:footnote w:type="continuationSeparator" w:id="0">
    <w:p w:rsidR="00FA27C1" w:rsidRDefault="00FA27C1" w:rsidP="00F617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78A" w:rsidRDefault="00F6178A">
    <w:pPr>
      <w:pStyle w:val="Encabezado"/>
    </w:pPr>
    <w:r>
      <w:rPr>
        <w:noProof/>
        <w:lang w:val="es-EC" w:eastAsia="es-EC"/>
      </w:rPr>
      <mc:AlternateContent>
        <mc:Choice Requires="wps">
          <w:drawing>
            <wp:anchor distT="0" distB="0" distL="118745" distR="118745" simplePos="0" relativeHeight="251659264" behindDoc="1" locked="0" layoutInCell="1" allowOverlap="0">
              <wp:simplePos x="0" y="0"/>
              <wp:positionH relativeFrom="margin">
                <wp:align>right</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0"/>
              <wp:wrapSquare wrapText="bothSides"/>
              <wp:docPr id="197" name="Rectángulo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ahoma" w:hAnsi="Tahoma" w:cs="Tahoma"/>
                              <w:b/>
                              <w:caps/>
                              <w:color w:val="FFFFFF" w:themeColor="background1"/>
                            </w:rPr>
                            <w:alias w:val="Título"/>
                            <w:tag w:val=""/>
                            <w:id w:val="1014883485"/>
                            <w:dataBinding w:prefixMappings="xmlns:ns0='http://purl.org/dc/elements/1.1/' xmlns:ns1='http://schemas.openxmlformats.org/package/2006/metadata/core-properties' " w:xpath="/ns1:coreProperties[1]/ns0:title[1]" w:storeItemID="{6C3C8BC8-F283-45AE-878A-BAB7291924A1}"/>
                            <w:text/>
                          </w:sdtPr>
                          <w:sdtEndPr/>
                          <w:sdtContent>
                            <w:p w:rsidR="00F6178A" w:rsidRPr="00F6178A" w:rsidRDefault="0007764D" w:rsidP="00F6178A">
                              <w:pPr>
                                <w:pStyle w:val="Encabezado"/>
                                <w:jc w:val="right"/>
                                <w:rPr>
                                  <w:rFonts w:ascii="Tahoma" w:hAnsi="Tahoma" w:cs="Tahoma"/>
                                  <w:b/>
                                  <w:caps/>
                                  <w:color w:val="FFFFFF" w:themeColor="background1"/>
                                </w:rPr>
                              </w:pPr>
                              <w:r>
                                <w:rPr>
                                  <w:rFonts w:ascii="Tahoma" w:hAnsi="Tahoma" w:cs="Tahoma"/>
                                  <w:b/>
                                  <w:color w:val="FFFFFF" w:themeColor="background1"/>
                                </w:rPr>
                                <w:t>I</w:t>
                              </w:r>
                              <w:r w:rsidRPr="00F6178A">
                                <w:rPr>
                                  <w:rFonts w:ascii="Tahoma" w:hAnsi="Tahoma" w:cs="Tahoma"/>
                                  <w:b/>
                                  <w:color w:val="FFFFFF" w:themeColor="background1"/>
                                </w:rPr>
                                <w:t xml:space="preserve">nformativo </w:t>
                              </w:r>
                              <w:r>
                                <w:rPr>
                                  <w:rFonts w:ascii="Tahoma" w:hAnsi="Tahoma" w:cs="Tahoma"/>
                                  <w:b/>
                                  <w:color w:val="FFFFFF" w:themeColor="background1"/>
                                </w:rPr>
                                <w:t>Gerencial No.</w:t>
                              </w:r>
                              <w:r w:rsidR="00F6178A" w:rsidRPr="00F6178A">
                                <w:rPr>
                                  <w:rFonts w:ascii="Tahoma" w:hAnsi="Tahoma" w:cs="Tahoma"/>
                                  <w:b/>
                                  <w:caps/>
                                  <w:color w:val="FFFFFF" w:themeColor="background1"/>
                                </w:rPr>
                                <w:t xml:space="preserve"> 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ángulo 197" o:spid="_x0000_s1029" style="position:absolute;margin-left:417.3pt;margin-top:0;width:468.5pt;height:21.3pt;z-index:-251657216;visibility:visible;mso-wrap-style:square;mso-width-percent:1000;mso-height-percent:27;mso-top-percent:45;mso-wrap-distance-left:9.35pt;mso-wrap-distance-top:0;mso-wrap-distance-right:9.35pt;mso-wrap-distance-bottom:0;mso-position-horizontal:right;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" o:allowoverlap="f" fillcolor="#066" stroked="f" strokeweight="1pt">
              <v:textbox style="mso-fit-shape-to-text:t">
                <w:txbxContent>
                  <w:sdt>
                    <w:sdtPr>
                      <w:rPr>
                        <w:rFonts w:ascii="Tahoma" w:hAnsi="Tahoma" w:cs="Tahoma"/>
                        <w:b/>
                        <w:caps/>
                        <w:color w:val="FFFFFF" w:themeColor="background1"/>
                      </w:rPr>
                      <w:alias w:val="Título"/>
                      <w:tag w:val=""/>
                      <w:id w:val="1014883485"/>
                      <w:dataBinding w:prefixMappings="xmlns:ns0='http://purl.org/dc/elements/1.1/' xmlns:ns1='http://schemas.openxmlformats.org/package/2006/metadata/core-properties' " w:xpath="/ns1:coreProperties[1]/ns0:title[1]" w:storeItemID="{6C3C8BC8-F283-45AE-878A-BAB7291924A1}"/>
                      <w:text/>
                    </w:sdtPr>
                    <w:sdtContent>
                      <w:p w:rsidR="00F6178A" w:rsidRPr="00F6178A" w:rsidRDefault="0007764D" w:rsidP="00F6178A">
                        <w:pPr>
                          <w:pStyle w:val="Encabezado"/>
                          <w:jc w:val="right"/>
                          <w:rPr>
                            <w:rFonts w:ascii="Tahoma" w:hAnsi="Tahoma" w:cs="Tahoma"/>
                            <w:b/>
                            <w:caps/>
                            <w:color w:val="FFFFFF" w:themeColor="background1"/>
                          </w:rPr>
                        </w:pPr>
                        <w:r>
                          <w:rPr>
                            <w:rFonts w:ascii="Tahoma" w:hAnsi="Tahoma" w:cs="Tahoma"/>
                            <w:b/>
                            <w:color w:val="FFFFFF" w:themeColor="background1"/>
                          </w:rPr>
                          <w:t>I</w:t>
                        </w:r>
                        <w:r w:rsidRPr="00F6178A">
                          <w:rPr>
                            <w:rFonts w:ascii="Tahoma" w:hAnsi="Tahoma" w:cs="Tahoma"/>
                            <w:b/>
                            <w:color w:val="FFFFFF" w:themeColor="background1"/>
                          </w:rPr>
                          <w:t xml:space="preserve">nformativo </w:t>
                        </w:r>
                        <w:r>
                          <w:rPr>
                            <w:rFonts w:ascii="Tahoma" w:hAnsi="Tahoma" w:cs="Tahoma"/>
                            <w:b/>
                            <w:color w:val="FFFFFF" w:themeColor="background1"/>
                          </w:rPr>
                          <w:t>Gerencial No.</w:t>
                        </w:r>
                        <w:r w:rsidR="00F6178A" w:rsidRPr="00F6178A">
                          <w:rPr>
                            <w:rFonts w:ascii="Tahoma" w:hAnsi="Tahoma" w:cs="Tahoma"/>
                            <w:b/>
                            <w:caps/>
                            <w:color w:val="FFFFFF" w:themeColor="background1"/>
                          </w:rPr>
                          <w:t xml:space="preserve"> 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A1031"/>
    <w:multiLevelType w:val="hybridMultilevel"/>
    <w:tmpl w:val="A01A95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82F0F93"/>
    <w:multiLevelType w:val="hybridMultilevel"/>
    <w:tmpl w:val="7324AC58"/>
    <w:lvl w:ilvl="0" w:tplc="301290FE">
      <w:start w:val="1"/>
      <w:numFmt w:val="bullet"/>
      <w:lvlText w:val="•"/>
      <w:lvlJc w:val="left"/>
      <w:pPr>
        <w:tabs>
          <w:tab w:val="num" w:pos="720"/>
        </w:tabs>
        <w:ind w:left="720" w:hanging="360"/>
      </w:pPr>
      <w:rPr>
        <w:rFonts w:ascii="Arial" w:hAnsi="Arial" w:hint="default"/>
      </w:rPr>
    </w:lvl>
    <w:lvl w:ilvl="1" w:tplc="00783B0E" w:tentative="1">
      <w:start w:val="1"/>
      <w:numFmt w:val="bullet"/>
      <w:lvlText w:val="•"/>
      <w:lvlJc w:val="left"/>
      <w:pPr>
        <w:tabs>
          <w:tab w:val="num" w:pos="1440"/>
        </w:tabs>
        <w:ind w:left="1440" w:hanging="360"/>
      </w:pPr>
      <w:rPr>
        <w:rFonts w:ascii="Arial" w:hAnsi="Arial" w:hint="default"/>
      </w:rPr>
    </w:lvl>
    <w:lvl w:ilvl="2" w:tplc="E5602904" w:tentative="1">
      <w:start w:val="1"/>
      <w:numFmt w:val="bullet"/>
      <w:lvlText w:val="•"/>
      <w:lvlJc w:val="left"/>
      <w:pPr>
        <w:tabs>
          <w:tab w:val="num" w:pos="2160"/>
        </w:tabs>
        <w:ind w:left="2160" w:hanging="360"/>
      </w:pPr>
      <w:rPr>
        <w:rFonts w:ascii="Arial" w:hAnsi="Arial" w:hint="default"/>
      </w:rPr>
    </w:lvl>
    <w:lvl w:ilvl="3" w:tplc="F2F66EB6" w:tentative="1">
      <w:start w:val="1"/>
      <w:numFmt w:val="bullet"/>
      <w:lvlText w:val="•"/>
      <w:lvlJc w:val="left"/>
      <w:pPr>
        <w:tabs>
          <w:tab w:val="num" w:pos="2880"/>
        </w:tabs>
        <w:ind w:left="2880" w:hanging="360"/>
      </w:pPr>
      <w:rPr>
        <w:rFonts w:ascii="Arial" w:hAnsi="Arial" w:hint="default"/>
      </w:rPr>
    </w:lvl>
    <w:lvl w:ilvl="4" w:tplc="D714A9EC" w:tentative="1">
      <w:start w:val="1"/>
      <w:numFmt w:val="bullet"/>
      <w:lvlText w:val="•"/>
      <w:lvlJc w:val="left"/>
      <w:pPr>
        <w:tabs>
          <w:tab w:val="num" w:pos="3600"/>
        </w:tabs>
        <w:ind w:left="3600" w:hanging="360"/>
      </w:pPr>
      <w:rPr>
        <w:rFonts w:ascii="Arial" w:hAnsi="Arial" w:hint="default"/>
      </w:rPr>
    </w:lvl>
    <w:lvl w:ilvl="5" w:tplc="4574CA44" w:tentative="1">
      <w:start w:val="1"/>
      <w:numFmt w:val="bullet"/>
      <w:lvlText w:val="•"/>
      <w:lvlJc w:val="left"/>
      <w:pPr>
        <w:tabs>
          <w:tab w:val="num" w:pos="4320"/>
        </w:tabs>
        <w:ind w:left="4320" w:hanging="360"/>
      </w:pPr>
      <w:rPr>
        <w:rFonts w:ascii="Arial" w:hAnsi="Arial" w:hint="default"/>
      </w:rPr>
    </w:lvl>
    <w:lvl w:ilvl="6" w:tplc="3E7A1C18" w:tentative="1">
      <w:start w:val="1"/>
      <w:numFmt w:val="bullet"/>
      <w:lvlText w:val="•"/>
      <w:lvlJc w:val="left"/>
      <w:pPr>
        <w:tabs>
          <w:tab w:val="num" w:pos="5040"/>
        </w:tabs>
        <w:ind w:left="5040" w:hanging="360"/>
      </w:pPr>
      <w:rPr>
        <w:rFonts w:ascii="Arial" w:hAnsi="Arial" w:hint="default"/>
      </w:rPr>
    </w:lvl>
    <w:lvl w:ilvl="7" w:tplc="18A61F08" w:tentative="1">
      <w:start w:val="1"/>
      <w:numFmt w:val="bullet"/>
      <w:lvlText w:val="•"/>
      <w:lvlJc w:val="left"/>
      <w:pPr>
        <w:tabs>
          <w:tab w:val="num" w:pos="5760"/>
        </w:tabs>
        <w:ind w:left="5760" w:hanging="360"/>
      </w:pPr>
      <w:rPr>
        <w:rFonts w:ascii="Arial" w:hAnsi="Arial" w:hint="default"/>
      </w:rPr>
    </w:lvl>
    <w:lvl w:ilvl="8" w:tplc="F4CE1EDC" w:tentative="1">
      <w:start w:val="1"/>
      <w:numFmt w:val="bullet"/>
      <w:lvlText w:val="•"/>
      <w:lvlJc w:val="left"/>
      <w:pPr>
        <w:tabs>
          <w:tab w:val="num" w:pos="6480"/>
        </w:tabs>
        <w:ind w:left="6480" w:hanging="360"/>
      </w:pPr>
      <w:rPr>
        <w:rFonts w:ascii="Arial" w:hAnsi="Arial" w:hint="default"/>
      </w:rPr>
    </w:lvl>
  </w:abstractNum>
  <w:abstractNum w:abstractNumId="2">
    <w:nsid w:val="39BA65EC"/>
    <w:multiLevelType w:val="hybridMultilevel"/>
    <w:tmpl w:val="3FEE128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53273F6E"/>
    <w:multiLevelType w:val="hybridMultilevel"/>
    <w:tmpl w:val="2EBC6BB0"/>
    <w:lvl w:ilvl="0" w:tplc="A5B47194">
      <w:start w:val="1"/>
      <w:numFmt w:val="bullet"/>
      <w:lvlText w:val="•"/>
      <w:lvlJc w:val="left"/>
      <w:pPr>
        <w:tabs>
          <w:tab w:val="num" w:pos="720"/>
        </w:tabs>
        <w:ind w:left="720" w:hanging="360"/>
      </w:pPr>
      <w:rPr>
        <w:rFonts w:ascii="Arial" w:hAnsi="Arial" w:hint="default"/>
      </w:rPr>
    </w:lvl>
    <w:lvl w:ilvl="1" w:tplc="C27C823E" w:tentative="1">
      <w:start w:val="1"/>
      <w:numFmt w:val="bullet"/>
      <w:lvlText w:val="•"/>
      <w:lvlJc w:val="left"/>
      <w:pPr>
        <w:tabs>
          <w:tab w:val="num" w:pos="1440"/>
        </w:tabs>
        <w:ind w:left="1440" w:hanging="360"/>
      </w:pPr>
      <w:rPr>
        <w:rFonts w:ascii="Arial" w:hAnsi="Arial" w:hint="default"/>
      </w:rPr>
    </w:lvl>
    <w:lvl w:ilvl="2" w:tplc="08865576" w:tentative="1">
      <w:start w:val="1"/>
      <w:numFmt w:val="bullet"/>
      <w:lvlText w:val="•"/>
      <w:lvlJc w:val="left"/>
      <w:pPr>
        <w:tabs>
          <w:tab w:val="num" w:pos="2160"/>
        </w:tabs>
        <w:ind w:left="2160" w:hanging="360"/>
      </w:pPr>
      <w:rPr>
        <w:rFonts w:ascii="Arial" w:hAnsi="Arial" w:hint="default"/>
      </w:rPr>
    </w:lvl>
    <w:lvl w:ilvl="3" w:tplc="0D9217C8" w:tentative="1">
      <w:start w:val="1"/>
      <w:numFmt w:val="bullet"/>
      <w:lvlText w:val="•"/>
      <w:lvlJc w:val="left"/>
      <w:pPr>
        <w:tabs>
          <w:tab w:val="num" w:pos="2880"/>
        </w:tabs>
        <w:ind w:left="2880" w:hanging="360"/>
      </w:pPr>
      <w:rPr>
        <w:rFonts w:ascii="Arial" w:hAnsi="Arial" w:hint="default"/>
      </w:rPr>
    </w:lvl>
    <w:lvl w:ilvl="4" w:tplc="D6CA7CD4" w:tentative="1">
      <w:start w:val="1"/>
      <w:numFmt w:val="bullet"/>
      <w:lvlText w:val="•"/>
      <w:lvlJc w:val="left"/>
      <w:pPr>
        <w:tabs>
          <w:tab w:val="num" w:pos="3600"/>
        </w:tabs>
        <w:ind w:left="3600" w:hanging="360"/>
      </w:pPr>
      <w:rPr>
        <w:rFonts w:ascii="Arial" w:hAnsi="Arial" w:hint="default"/>
      </w:rPr>
    </w:lvl>
    <w:lvl w:ilvl="5" w:tplc="69A07732" w:tentative="1">
      <w:start w:val="1"/>
      <w:numFmt w:val="bullet"/>
      <w:lvlText w:val="•"/>
      <w:lvlJc w:val="left"/>
      <w:pPr>
        <w:tabs>
          <w:tab w:val="num" w:pos="4320"/>
        </w:tabs>
        <w:ind w:left="4320" w:hanging="360"/>
      </w:pPr>
      <w:rPr>
        <w:rFonts w:ascii="Arial" w:hAnsi="Arial" w:hint="default"/>
      </w:rPr>
    </w:lvl>
    <w:lvl w:ilvl="6" w:tplc="2AA08750" w:tentative="1">
      <w:start w:val="1"/>
      <w:numFmt w:val="bullet"/>
      <w:lvlText w:val="•"/>
      <w:lvlJc w:val="left"/>
      <w:pPr>
        <w:tabs>
          <w:tab w:val="num" w:pos="5040"/>
        </w:tabs>
        <w:ind w:left="5040" w:hanging="360"/>
      </w:pPr>
      <w:rPr>
        <w:rFonts w:ascii="Arial" w:hAnsi="Arial" w:hint="default"/>
      </w:rPr>
    </w:lvl>
    <w:lvl w:ilvl="7" w:tplc="79B232D8" w:tentative="1">
      <w:start w:val="1"/>
      <w:numFmt w:val="bullet"/>
      <w:lvlText w:val="•"/>
      <w:lvlJc w:val="left"/>
      <w:pPr>
        <w:tabs>
          <w:tab w:val="num" w:pos="5760"/>
        </w:tabs>
        <w:ind w:left="5760" w:hanging="360"/>
      </w:pPr>
      <w:rPr>
        <w:rFonts w:ascii="Arial" w:hAnsi="Arial" w:hint="default"/>
      </w:rPr>
    </w:lvl>
    <w:lvl w:ilvl="8" w:tplc="09BA78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966"/>
    <w:rsid w:val="0007764D"/>
    <w:rsid w:val="000C42B8"/>
    <w:rsid w:val="000E1145"/>
    <w:rsid w:val="004103DF"/>
    <w:rsid w:val="00461513"/>
    <w:rsid w:val="004B2178"/>
    <w:rsid w:val="005D3966"/>
    <w:rsid w:val="00BB1858"/>
    <w:rsid w:val="00EB2D48"/>
    <w:rsid w:val="00F6178A"/>
    <w:rsid w:val="00F8564A"/>
    <w:rsid w:val="00FA27C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9B2BF8-3653-4073-9E98-4830FF6B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5D3966"/>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styleId="Prrafodelista">
    <w:name w:val="List Paragraph"/>
    <w:basedOn w:val="Normal"/>
    <w:uiPriority w:val="34"/>
    <w:qFormat/>
    <w:rsid w:val="005D3966"/>
    <w:pPr>
      <w:spacing w:after="0" w:line="240" w:lineRule="auto"/>
      <w:ind w:left="720"/>
      <w:contextualSpacing/>
    </w:pPr>
    <w:rPr>
      <w:rFonts w:ascii="Times New Roman" w:eastAsia="Times New Roman" w:hAnsi="Times New Roman" w:cs="Times New Roman"/>
      <w:sz w:val="24"/>
      <w:szCs w:val="24"/>
      <w:lang w:eastAsia="es-EC"/>
    </w:rPr>
  </w:style>
  <w:style w:type="paragraph" w:styleId="Puesto">
    <w:name w:val="Title"/>
    <w:basedOn w:val="Normal"/>
    <w:link w:val="PuestoCar"/>
    <w:uiPriority w:val="1"/>
    <w:qFormat/>
    <w:rsid w:val="00F6178A"/>
    <w:pPr>
      <w:spacing w:before="120" w:after="0" w:line="204" w:lineRule="auto"/>
      <w:contextualSpacing/>
    </w:pPr>
    <w:rPr>
      <w:rFonts w:ascii="Arial" w:eastAsia="Times New Roman" w:hAnsi="Arial" w:cs="Angsana New"/>
      <w:b/>
      <w:bCs/>
      <w:caps/>
      <w:color w:val="404040"/>
      <w:kern w:val="28"/>
      <w:sz w:val="78"/>
      <w:szCs w:val="20"/>
      <w:lang w:val="en-US" w:eastAsia="ja-JP"/>
    </w:rPr>
  </w:style>
  <w:style w:type="character" w:customStyle="1" w:styleId="PuestoCar">
    <w:name w:val="Puesto Car"/>
    <w:basedOn w:val="Fuentedeprrafopredeter"/>
    <w:link w:val="Puesto"/>
    <w:uiPriority w:val="1"/>
    <w:rsid w:val="00F6178A"/>
    <w:rPr>
      <w:rFonts w:ascii="Arial" w:eastAsia="Times New Roman" w:hAnsi="Arial" w:cs="Angsana New"/>
      <w:b/>
      <w:bCs/>
      <w:caps/>
      <w:color w:val="404040"/>
      <w:kern w:val="28"/>
      <w:sz w:val="78"/>
      <w:szCs w:val="20"/>
      <w:lang w:val="en-US" w:eastAsia="ja-JP"/>
    </w:rPr>
  </w:style>
  <w:style w:type="paragraph" w:styleId="Textoindependiente">
    <w:name w:val="Body Text"/>
    <w:basedOn w:val="Normal"/>
    <w:link w:val="TextoindependienteCar"/>
    <w:uiPriority w:val="99"/>
    <w:unhideWhenUsed/>
    <w:rsid w:val="00F6178A"/>
    <w:pPr>
      <w:spacing w:after="120" w:line="240" w:lineRule="auto"/>
    </w:pPr>
    <w:rPr>
      <w:rFonts w:ascii="Century Gothic" w:eastAsia="Times New Roman" w:hAnsi="Century Gothic" w:cs="Times New Roman"/>
      <w:sz w:val="24"/>
      <w:szCs w:val="24"/>
      <w:lang w:val="es-ES"/>
    </w:rPr>
  </w:style>
  <w:style w:type="character" w:customStyle="1" w:styleId="TextoindependienteCar">
    <w:name w:val="Texto independiente Car"/>
    <w:basedOn w:val="Fuentedeprrafopredeter"/>
    <w:link w:val="Textoindependiente"/>
    <w:uiPriority w:val="99"/>
    <w:rsid w:val="00F6178A"/>
    <w:rPr>
      <w:rFonts w:ascii="Century Gothic" w:eastAsia="Times New Roman" w:hAnsi="Century Gothic" w:cs="Times New Roman"/>
      <w:sz w:val="24"/>
      <w:szCs w:val="24"/>
      <w:lang w:val="es-ES"/>
    </w:rPr>
  </w:style>
  <w:style w:type="paragraph" w:styleId="Encabezado">
    <w:name w:val="header"/>
    <w:basedOn w:val="Normal"/>
    <w:link w:val="EncabezadoCar"/>
    <w:uiPriority w:val="99"/>
    <w:unhideWhenUsed/>
    <w:rsid w:val="00F6178A"/>
    <w:pPr>
      <w:tabs>
        <w:tab w:val="center" w:pos="4252"/>
        <w:tab w:val="right" w:pos="8504"/>
      </w:tabs>
      <w:spacing w:after="0" w:line="240" w:lineRule="auto"/>
    </w:pPr>
    <w:rPr>
      <w:rFonts w:ascii="Century Gothic" w:eastAsia="Times New Roman" w:hAnsi="Century Gothic" w:cs="Times New Roman"/>
      <w:sz w:val="24"/>
      <w:szCs w:val="24"/>
      <w:lang w:val="es-ES"/>
    </w:rPr>
  </w:style>
  <w:style w:type="character" w:customStyle="1" w:styleId="EncabezadoCar">
    <w:name w:val="Encabezado Car"/>
    <w:basedOn w:val="Fuentedeprrafopredeter"/>
    <w:link w:val="Encabezado"/>
    <w:uiPriority w:val="99"/>
    <w:rsid w:val="00F6178A"/>
    <w:rPr>
      <w:rFonts w:ascii="Century Gothic" w:eastAsia="Times New Roman" w:hAnsi="Century Gothic" w:cs="Times New Roman"/>
      <w:sz w:val="24"/>
      <w:szCs w:val="24"/>
      <w:lang w:val="es-ES"/>
    </w:rPr>
  </w:style>
  <w:style w:type="paragraph" w:styleId="Piedepgina">
    <w:name w:val="footer"/>
    <w:basedOn w:val="Normal"/>
    <w:link w:val="PiedepginaCar"/>
    <w:uiPriority w:val="99"/>
    <w:unhideWhenUsed/>
    <w:rsid w:val="00F6178A"/>
    <w:pPr>
      <w:tabs>
        <w:tab w:val="center" w:pos="4252"/>
        <w:tab w:val="right" w:pos="8504"/>
      </w:tabs>
      <w:spacing w:after="0" w:line="240" w:lineRule="auto"/>
    </w:pPr>
    <w:rPr>
      <w:rFonts w:ascii="Century Gothic" w:eastAsia="Times New Roman" w:hAnsi="Century Gothic" w:cs="Times New Roman"/>
      <w:sz w:val="24"/>
      <w:szCs w:val="24"/>
      <w:lang w:val="es-ES"/>
    </w:rPr>
  </w:style>
  <w:style w:type="character" w:customStyle="1" w:styleId="PiedepginaCar">
    <w:name w:val="Pie de página Car"/>
    <w:basedOn w:val="Fuentedeprrafopredeter"/>
    <w:link w:val="Piedepgina"/>
    <w:uiPriority w:val="99"/>
    <w:rsid w:val="00F6178A"/>
    <w:rPr>
      <w:rFonts w:ascii="Century Gothic" w:eastAsia="Times New Roman" w:hAnsi="Century Gothic"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36495">
      <w:bodyDiv w:val="1"/>
      <w:marLeft w:val="0"/>
      <w:marRight w:val="0"/>
      <w:marTop w:val="0"/>
      <w:marBottom w:val="0"/>
      <w:divBdr>
        <w:top w:val="none" w:sz="0" w:space="0" w:color="auto"/>
        <w:left w:val="none" w:sz="0" w:space="0" w:color="auto"/>
        <w:bottom w:val="none" w:sz="0" w:space="0" w:color="auto"/>
        <w:right w:val="none" w:sz="0" w:space="0" w:color="auto"/>
      </w:divBdr>
      <w:divsChild>
        <w:div w:id="1294023220">
          <w:marLeft w:val="446"/>
          <w:marRight w:val="0"/>
          <w:marTop w:val="0"/>
          <w:marBottom w:val="0"/>
          <w:divBdr>
            <w:top w:val="none" w:sz="0" w:space="0" w:color="auto"/>
            <w:left w:val="none" w:sz="0" w:space="0" w:color="auto"/>
            <w:bottom w:val="none" w:sz="0" w:space="0" w:color="auto"/>
            <w:right w:val="none" w:sz="0" w:space="0" w:color="auto"/>
          </w:divBdr>
        </w:div>
      </w:divsChild>
    </w:div>
    <w:div w:id="170336947">
      <w:bodyDiv w:val="1"/>
      <w:marLeft w:val="0"/>
      <w:marRight w:val="0"/>
      <w:marTop w:val="0"/>
      <w:marBottom w:val="0"/>
      <w:divBdr>
        <w:top w:val="none" w:sz="0" w:space="0" w:color="auto"/>
        <w:left w:val="none" w:sz="0" w:space="0" w:color="auto"/>
        <w:bottom w:val="none" w:sz="0" w:space="0" w:color="auto"/>
        <w:right w:val="none" w:sz="0" w:space="0" w:color="auto"/>
      </w:divBdr>
      <w:divsChild>
        <w:div w:id="1787845958">
          <w:marLeft w:val="446"/>
          <w:marRight w:val="0"/>
          <w:marTop w:val="0"/>
          <w:marBottom w:val="0"/>
          <w:divBdr>
            <w:top w:val="none" w:sz="0" w:space="0" w:color="auto"/>
            <w:left w:val="none" w:sz="0" w:space="0" w:color="auto"/>
            <w:bottom w:val="none" w:sz="0" w:space="0" w:color="auto"/>
            <w:right w:val="none" w:sz="0" w:space="0" w:color="auto"/>
          </w:divBdr>
        </w:div>
      </w:divsChild>
    </w:div>
    <w:div w:id="870847318">
      <w:bodyDiv w:val="1"/>
      <w:marLeft w:val="0"/>
      <w:marRight w:val="0"/>
      <w:marTop w:val="0"/>
      <w:marBottom w:val="0"/>
      <w:divBdr>
        <w:top w:val="none" w:sz="0" w:space="0" w:color="auto"/>
        <w:left w:val="none" w:sz="0" w:space="0" w:color="auto"/>
        <w:bottom w:val="none" w:sz="0" w:space="0" w:color="auto"/>
        <w:right w:val="none" w:sz="0" w:space="0" w:color="auto"/>
      </w:divBdr>
    </w:div>
    <w:div w:id="987175657">
      <w:bodyDiv w:val="1"/>
      <w:marLeft w:val="0"/>
      <w:marRight w:val="0"/>
      <w:marTop w:val="0"/>
      <w:marBottom w:val="0"/>
      <w:divBdr>
        <w:top w:val="none" w:sz="0" w:space="0" w:color="auto"/>
        <w:left w:val="none" w:sz="0" w:space="0" w:color="auto"/>
        <w:bottom w:val="none" w:sz="0" w:space="0" w:color="auto"/>
        <w:right w:val="none" w:sz="0" w:space="0" w:color="auto"/>
      </w:divBdr>
      <w:divsChild>
        <w:div w:id="884416375">
          <w:marLeft w:val="446"/>
          <w:marRight w:val="0"/>
          <w:marTop w:val="0"/>
          <w:marBottom w:val="0"/>
          <w:divBdr>
            <w:top w:val="none" w:sz="0" w:space="0" w:color="auto"/>
            <w:left w:val="none" w:sz="0" w:space="0" w:color="auto"/>
            <w:bottom w:val="none" w:sz="0" w:space="0" w:color="auto"/>
            <w:right w:val="none" w:sz="0" w:space="0" w:color="auto"/>
          </w:divBdr>
        </w:div>
      </w:divsChild>
    </w:div>
    <w:div w:id="1464806687">
      <w:bodyDiv w:val="1"/>
      <w:marLeft w:val="0"/>
      <w:marRight w:val="0"/>
      <w:marTop w:val="0"/>
      <w:marBottom w:val="0"/>
      <w:divBdr>
        <w:top w:val="none" w:sz="0" w:space="0" w:color="auto"/>
        <w:left w:val="none" w:sz="0" w:space="0" w:color="auto"/>
        <w:bottom w:val="none" w:sz="0" w:space="0" w:color="auto"/>
        <w:right w:val="none" w:sz="0" w:space="0" w:color="auto"/>
      </w:divBdr>
    </w:div>
    <w:div w:id="1766414943">
      <w:bodyDiv w:val="1"/>
      <w:marLeft w:val="0"/>
      <w:marRight w:val="0"/>
      <w:marTop w:val="0"/>
      <w:marBottom w:val="0"/>
      <w:divBdr>
        <w:top w:val="none" w:sz="0" w:space="0" w:color="auto"/>
        <w:left w:val="none" w:sz="0" w:space="0" w:color="auto"/>
        <w:bottom w:val="none" w:sz="0" w:space="0" w:color="auto"/>
        <w:right w:val="none" w:sz="0" w:space="0" w:color="auto"/>
      </w:divBdr>
    </w:div>
    <w:div w:id="1805268635">
      <w:bodyDiv w:val="1"/>
      <w:marLeft w:val="0"/>
      <w:marRight w:val="0"/>
      <w:marTop w:val="0"/>
      <w:marBottom w:val="0"/>
      <w:divBdr>
        <w:top w:val="none" w:sz="0" w:space="0" w:color="auto"/>
        <w:left w:val="none" w:sz="0" w:space="0" w:color="auto"/>
        <w:bottom w:val="none" w:sz="0" w:space="0" w:color="auto"/>
        <w:right w:val="none" w:sz="0" w:space="0" w:color="auto"/>
      </w:divBdr>
    </w:div>
    <w:div w:id="209107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4364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Informativo Gerencial No. 6</vt:lpstr>
    </vt:vector>
  </TitlesOfParts>
  <Company>Hewlett-Packard</Company>
  <LinksUpToDate>false</LinksUpToDate>
  <CharactersWithSpaces>5147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Informativo Gerencial No. 6</dc:title>
  <dc:subject/>
  <dc:creator>Junio 2018</dc:creator>
  <cp:keywords/>
  <dc:description/>
  <cp:lastModifiedBy>Dell Latitude</cp:lastModifiedBy>
  <cp:revision>2</cp:revision>
  <cp:lastPrinted>2018-06-26T21:15:00Z</cp:lastPrinted>
  <dcterms:created xsi:type="dcterms:W3CDTF">2018-07-17T21:23:00Z</dcterms:created>
  <dcterms:modified xsi:type="dcterms:W3CDTF">2018-07-17T21:23:00Z</dcterms:modified>
</cp:coreProperties>
</file>